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RDM#69</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2025-03-27</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Add_missing_short_names_for_railway_domain_devices</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5.5.8.1, 5.5.8.2, 5.5.8.3, 5.5.8.4, 5.5.8.5, 6.3.2</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 missing short names for railway domain devices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https://git.onem2m.org/specifications/ts/ts-0023/-/merge_requests/60</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https://git.onem2m.org/specifications/ts/ts-0023/-/merge_requests/60/diffs?commit_id=aa1b49d6d06974b606b19fbaf6bf809f08340c23</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-3821,9 +3821,6 @@ A cow activity monitor device is a battery-powered wireless metering device that</w:t>
      </w:r>
    </w:p>
    <w:p>
      <w:pPr>
        <w:pStyle w:val="CodeChangeLine"/>
      </w:pPr>
      <w:r>
        <w:t>#### 5.5.8.1 deviceHandheldPTTTerminal</w:t>
      </w:r>
    </w:p>
    <w:p>
      <w:pPr>
        <w:pStyle w:val="CodeChangeLine"/>
      </w:pPr>
      <w:r>
        <w:t>A handheld Push-to-Talk (PTT) terminal is a device of the Railway Domain. The terminal is usually used between the railway workers including train driver, crew and rail-side worker to share their work status via voice communication.</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5.5.8.1-1: Modules of deviceHandheldPTTTerminal Device model**</w:t>
      </w:r>
    </w:p>
    <w:p>
      <w:pPr>
        <w:pStyle w:val="CodeChangeLine"/>
      </w:pPr>
      <w:r/>
    </w:p>
    <w:p>
      <w:pPr>
        <w:pStyle w:val="CodeChangeLine"/>
      </w:pPr>
      <w:r>
        <w:t>|Module Instance Name |Module Class Name |Multiplicity |Description |</w:t>
      </w:r>
    </w:p>
    <w:p>
      <w:pPr>
        <w:pStyle w:val="CodeHeader"/>
      </w:pPr>
      <w:r>
        <w:t>@@ -3841,13 +3838,9 @@ A handheld Push-to-Talk (PTT) terminal is a device of the Railway Domain. The te</w:t>
      </w:r>
    </w:p>
    <w:p>
      <w:pPr>
        <w:pStyle w:val="CodeChangeLine"/>
      </w:pPr>
      <w:r>
        <w:t>|signalStrength |[signalStrength](#53178-signalstrength) |0..1 |See clause [5.3.1.78](#53178-signalstrength).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5.5.8.2 deviceTrainborneTerminal</w:t>
      </w:r>
    </w:p>
    <w:p>
      <w:pPr>
        <w:pStyle w:val="CodeChangeLine"/>
      </w:pPr>
      <w:r>
        <w:t>A handheld Push-to-Talk (PTT) terminal is a device of the Railway Domain. The terminal is usually used between the railway workers including train driver, crew and rail-side worker to share their work status via voice communication.</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pPr>
      <w:r>
        <w:t>**Table 5.5.8.2-1: Modules of deviceTrainborneTerminal Device model**</w:t>
      </w:r>
    </w:p>
    <w:p>
      <w:pPr>
        <w:pStyle w:val="CodeChangeLine"/>
      </w:pPr>
      <w:r/>
    </w:p>
    <w:p>
      <w:pPr>
        <w:pStyle w:val="CodeChangeLine"/>
      </w:pPr>
      <w:r>
        <w:t>|Module Instance Name |Module Class Name |Multiplicity |Description |</w:t>
      </w:r>
    </w:p>
    <w:p>
      <w:pPr>
        <w:pStyle w:val="CodeHeader"/>
      </w:pPr>
      <w:r>
        <w:t>@@ -3866,14 +3859,9 @@ A handheld Push-to-Talk (PTT) terminal is a device of the Railway Domain. The te</w:t>
      </w:r>
    </w:p>
    <w:p>
      <w:pPr>
        <w:pStyle w:val="CodeChangeLine"/>
      </w:pPr>
      <w:r>
        <w:t>|connectivity |[connectivity](#53125-connectivity) |0..1 |See clause [5.3.1.25](#53125-connectivity).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5.5.8.3 deviceCardRechargingMachine</w:t>
      </w:r>
    </w:p>
    <w:p>
      <w:pPr>
        <w:pStyle w:val="CodeChangeLine"/>
      </w:pPr>
      <w:r>
        <w:t>A card recharging machine is a device of the Railway Domain. The machine provides recharging service for pre-paid card for transportation. Railway users simply recharging their cards and use it as a payment method for transportation fare.</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5.5.8.3-1: Modules of deviceCardRechargingMachine Device model**</w:t>
      </w:r>
    </w:p>
    <w:p>
      <w:pPr>
        <w:pStyle w:val="CodeChangeLine"/>
      </w:pPr>
      <w:r/>
    </w:p>
    <w:p>
      <w:pPr>
        <w:pStyle w:val="CodeChangeLine"/>
      </w:pPr>
      <w:r>
        <w:t>|Module Instance Name |Module Class Name |Multiplicity |Description |</w:t>
      </w:r>
    </w:p>
    <w:p>
      <w:pPr>
        <w:pStyle w:val="CodeHeader"/>
      </w:pPr>
      <w:r>
        <w:t>@@ -3895,14 +3883,9 @@ A card recharging machine is a device of the Railway Domain. The machine provide</w:t>
      </w:r>
    </w:p>
    <w:p>
      <w:pPr>
        <w:pStyle w:val="CodeChangeLine"/>
      </w:pPr>
      <w:r>
        <w:t>|lock |[lock](#53152-lock) |1 |See clause [5.3.1.52](#53152-lock).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5.5.8.4 deviceSmartGate</w:t>
      </w:r>
    </w:p>
    <w:p>
      <w:pPr>
        <w:pStyle w:val="CodeChangeLine"/>
      </w:pPr>
      <w:r>
        <w:t>A smart gate is a device of the Railway Domain. The gate provides passenger service for checking ticket and control the gate usage. Railway users simply use the gate with their ticket (e.g. passenger card) which have pre-paid card function.</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5.5.8.4-1: Modules of deviceSmartGate Device model**</w:t>
      </w:r>
    </w:p>
    <w:p>
      <w:pPr>
        <w:pStyle w:val="CodeChangeLine"/>
      </w:pPr>
      <w:r/>
    </w:p>
    <w:p>
      <w:pPr>
        <w:pStyle w:val="CodeChangeLine"/>
      </w:pPr>
      <w:r>
        <w:t>|Module Instance Name |Module Class Name |Multiplicity |Description |</w:t>
      </w:r>
    </w:p>
    <w:p>
      <w:pPr>
        <w:pStyle w:val="CodeHeader"/>
      </w:pPr>
      <w:r>
        <w:t>@@ -3923,32 +3906,25 @@ A smart gate is a device of the Railway Domain. The gate provides passenger serv</w:t>
      </w:r>
    </w:p>
    <w:p>
      <w:pPr>
        <w:pStyle w:val="CodeChangeLine"/>
      </w:pPr>
      <w:r>
        <w:t>|crossingBarrier |[crossingBarrier](#531115-crossingbarrier) |1 |See clause [5.3.1.115](#531115-crossingbarrier).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5.5.8.5 deviceSmartScreenDoor</w:t>
      </w:r>
    </w:p>
    <w:p>
      <w:pPr>
        <w:pStyle w:val="CodeChangeLine"/>
      </w:pPr>
      <w:r>
        <w:t>A smart screen door is a device of the Railway Domain. The screen doors are pairs of sliding doors in a platform with synchronization of doors of a train that is staying in the platform. When the train doors are open, the smart screen doors are open in simultaneously, and vice versa. The screen doors are used in the metro platform mostly.</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5.5.8.5-1: Modules of deviceSmartScreenDoor Device Model**</w:t>
      </w:r>
    </w:p>
    <w:p>
      <w:pPr>
        <w:pStyle w:val="CodeChangeLine"/>
      </w:pPr>
      <w:r/>
    </w:p>
    <w:p>
      <w:pPr>
        <w:pStyle w:val="CodeChangeLine"/>
      </w:pPr>
      <w:r>
        <w:t>|Module Instance Name |Module Class Name |Multiplicity |Description |</w:t>
      </w:r>
    </w:p>
    <w:p>
      <w:pPr>
        <w:pStyle w:val="CodeChangeLine"/>
      </w:pPr>
      <w:r>
        <w:t>|-|-|-|-|</w:t>
      </w:r>
    </w:p>
    <w:p>
      <w:pPr>
        <w:pStyle w:val="CodeChangeLine"/>
        <w:shd w:val="clear" w:color="auto" w:fill="ecfdf0"/>
      </w:pPr>
      <w:r>
        <w:t>|audioVolume |[audioVolume](#5318-audiovolume) |0..1 |See clause [audioVolume](#5318-audiovolume). |</w:t>
      </w:r>
    </w:p>
    <w:p>
      <w:pPr>
        <w:pStyle w:val="CodeChangeLine"/>
      </w:pPr>
      <w:r>
        <w:t>|binarySwitch |[binarySwitch](#53112-binaryswitch) |1 |See clause [5.3.1.12](#53112-binaryswitch). |</w:t>
      </w:r>
    </w:p>
    <w:p>
      <w:pPr>
        <w:pStyle w:val="CodeChangeLine"/>
        <w:shd w:val="clear" w:color="auto" w:fill="fbe9eb"/>
      </w:pPr>
      <w:r>
        <w:t>|screenDoor |[doorStatus](#53130-doorstatus) |1..N |See clause [5.3.1.30](#53130-doorstatus). |</w:t>
      </w:r>
    </w:p>
    <w:p>
      <w:pPr>
        <w:pStyle w:val="CodeChangeLine"/>
      </w:pPr>
      <w:r>
        <w:t>|releaseSwitch |[binarySwitch](#53112-binaryswitch) |1 |See clause [5.3.1.12](#53112-binaryswitch). |</w:t>
      </w:r>
    </w:p>
    <w:p>
      <w:pPr>
        <w:pStyle w:val="CodeChangeLine"/>
        <w:shd w:val="clear" w:color="auto" w:fill="fbe9eb"/>
      </w:pPr>
      <w:r>
        <w:t>|emergencyButton |[pushButton](#53169-pushbutton) |1 |See clause [5.3.1.69](#53169-pushbutton). |</w:t>
      </w:r>
    </w:p>
    <w:p>
      <w:pPr>
        <w:pStyle w:val="CodeChangeLine"/>
        <w:shd w:val="clear" w:color="auto" w:fill="fbe9eb"/>
      </w:pPr>
      <w:r>
        <w:t>|audioVolume |[audioVolume](#5318-audiovolume) |0..1 |See clause [audioVolume](#5318-audiovolume). |</w:t>
      </w:r>
    </w:p>
    <w:p>
      <w:pPr>
        <w:pStyle w:val="CodeChangeLine"/>
        <w:shd w:val="clear" w:color="auto" w:fill="fbe9eb"/>
      </w:pPr>
      <w:r>
        <w:t>|crossingSensor |[crossingBarrier](#531115-crossingbarrier) |1 |See clause [5.3.1.115](#531115-crossingbarrier). |</w:t>
      </w:r>
    </w:p>
    <w:p>
      <w:pPr>
        <w:pStyle w:val="CodeChangeLine"/>
        <w:shd w:val="clear" w:color="auto" w:fill="fbe9eb"/>
      </w:pPr>
      <w:r>
        <w:t>|connectivity |[connectivity](#53125-connectivity) |1 |See clause [5.3.1.25](#53125-connectivity). |</w:t>
      </w:r>
    </w:p>
    <w:p>
      <w:pPr>
        <w:pStyle w:val="CodeChangeLine"/>
        <w:shd w:val="clear" w:color="auto" w:fill="fbe9eb"/>
      </w:pPr>
      <w:r>
        <w:t>|gateState |[runState](#53175-runstate) |1 |See clause [5.3.1.75](#53175-runstate). |</w:t>
      </w:r>
    </w:p>
    <w:p>
      <w:pPr>
        <w:pStyle w:val="CodeChangeLine"/>
        <w:shd w:val="clear" w:color="auto" w:fill="fbe9eb"/>
      </w:pPr>
      <w:r>
        <w:t>|directionPanel |[headingSensor](#531113-headingsensor) |0..1 |See clause [5.3.1.113](#531113-headingsensor). |</w:t>
      </w:r>
    </w:p>
    <w:p>
      <w:pPr>
        <w:pStyle w:val="CodeChangeLine"/>
        <w:shd w:val="clear" w:color="auto" w:fill="ecfdf0"/>
      </w:pPr>
      <w:r>
        <w:t>|crossingIndicatorColourBrightness |[brightness](#53117-brightness) |0..1 |See clause [5.3.1.17](#53117-brightness). |</w:t>
      </w:r>
    </w:p>
    <w:p>
      <w:pPr>
        <w:pStyle w:val="CodeChangeLine"/>
      </w:pPr>
      <w:r>
        <w:t>|crossingIndicatorColour |[colour](#53123-colour) |0..1 |See clause [5.3.1.23](#53123-colour). |</w:t>
      </w:r>
    </w:p>
    <w:p>
      <w:pPr>
        <w:pStyle w:val="CodeChangeLine"/>
      </w:pPr>
      <w:r>
        <w:t>|crossingIndicatorColourSaturation |[colourSaturation](#53124-coloursaturation) |0..1 |See clause [5.3.1.24](#53124-coloursaturation). |</w:t>
      </w:r>
    </w:p>
    <w:p>
      <w:pPr>
        <w:pStyle w:val="CodeChangeLine"/>
        <w:shd w:val="clear" w:color="auto" w:fill="fbe9eb"/>
      </w:pPr>
      <w:r>
        <w:t>|crossingIndicatorColourBrightness |[brightness](#53117-brightness) |0..1 |See clause [5.3.1.17](#53117-brightness). |</w:t>
      </w:r>
    </w:p>
    <w:p>
      <w:pPr>
        <w:pStyle w:val="CodeChangeLine"/>
        <w:shd w:val="clear" w:color="auto" w:fill="fbe9eb"/>
      </w:pPr>
      <w:r/>
    </w:p>
    <w:p>
      <w:pPr>
        <w:pStyle w:val="CodeChangeLine"/>
        <w:shd w:val="clear" w:color="auto" w:fill="fbe9eb"/>
      </w:pPr>
      <w:r/>
    </w:p>
    <w:p>
      <w:pPr>
        <w:pStyle w:val="CodeChangeLine"/>
        <w:shd w:val="clear" w:color="auto" w:fill="ecfdf0"/>
      </w:pPr>
      <w:r>
        <w:t>|connectivity |[connectivity](#53125-connectivity) |1 |See clause [5.3.1.25](#53125-connectivity). |</w:t>
      </w:r>
    </w:p>
    <w:p>
      <w:pPr>
        <w:pStyle w:val="CodeChangeLine"/>
        <w:shd w:val="clear" w:color="auto" w:fill="ecfdf0"/>
      </w:pPr>
      <w:r>
        <w:t>|crossingSensor |[crossingBarrier](#531115-crossingbarrier) |1 |See clause [5.3.1.115](#531115-crossingbarrier). |</w:t>
      </w:r>
    </w:p>
    <w:p>
      <w:pPr>
        <w:pStyle w:val="CodeChangeLine"/>
        <w:shd w:val="clear" w:color="auto" w:fill="ecfdf0"/>
      </w:pPr>
      <w:r>
        <w:t>|screenDoor |[doorStatus](#53130-doorstatus) |1..N |See clause [5.3.1.30](#53130-doorstatus). |</w:t>
      </w:r>
    </w:p>
    <w:p>
      <w:pPr>
        <w:pStyle w:val="CodeChangeLine"/>
        <w:shd w:val="clear" w:color="auto" w:fill="ecfdf0"/>
      </w:pPr>
      <w:r>
        <w:t>|directionPanel |[headingSensor](#531113-headingsensor) |0..1 |See clause [5.3.1.113](#531113-headingsensor). |</w:t>
      </w:r>
    </w:p>
    <w:p>
      <w:pPr>
        <w:pStyle w:val="CodeChangeLine"/>
        <w:shd w:val="clear" w:color="auto" w:fill="ecfdf0"/>
      </w:pPr>
      <w:r>
        <w:t>|emergencyButton |[pushButton](#53169-pushbutton) |1 |See clause [5.3.1.69](#53169-pushbutton). |</w:t>
      </w:r>
    </w:p>
    <w:p>
      <w:pPr>
        <w:pStyle w:val="CodeChangeLine"/>
        <w:shd w:val="clear" w:color="auto" w:fill="ecfdf0"/>
      </w:pPr>
      <w:r>
        <w:t>|gateState |[runState](#53175-runstate) |1 |See clause [5.3.1.75](#53175-runstate). |</w:t>
      </w:r>
    </w:p>
    <w:p>
      <w:pPr>
        <w:pStyle w:val="CodeChangeLine"/>
      </w:pPr>
      <w:r/>
    </w:p>
    <w:p>
      <w:pPr>
        <w:pStyle w:val="CodeChangeLine"/>
      </w:pPr>
      <w:r/>
    </w:p>
    <w:p>
      <w:pPr>
        <w:pStyle w:val="CodeChangeLine"/>
      </w:pPr>
      <w:r>
        <w:t>### 5.5.9 Public Safety Domain</w:t>
      </w:r>
    </w:p>
    <w:p>
      <w:pPr>
        <w:pStyle w:val="CodeHeader"/>
      </w:pPr>
      <w:r>
        <w:t>@@ -5708,6 +5684,7 @@ In protocol bindings resource type names for device models shall be translated i</w:t>
      </w:r>
    </w:p>
    <w:p>
      <w:pPr>
        <w:pStyle w:val="CodeChangeLine"/>
      </w:pPr>
      <w:r>
        <w:t>|[deviceAudioReceiver](#5513-deviceaudioreceiver) |deARr |</w:t>
      </w:r>
    </w:p>
    <w:p>
      <w:pPr>
        <w:pStyle w:val="CodeChangeLine"/>
      </w:pPr>
      <w:r>
        <w:t>|[deviceBloodPressureMonitor](#5531-devicebloodpressuremonitor) |dBPMr |</w:t>
      </w:r>
    </w:p>
    <w:p>
      <w:pPr>
        <w:pStyle w:val="CodeChangeLine"/>
      </w:pPr>
      <w:r>
        <w:t>|[deviceCamera](#5514-devicecamera) |devCa |</w:t>
      </w:r>
    </w:p>
    <w:p>
      <w:pPr>
        <w:pStyle w:val="CodeChangeLine"/>
        <w:shd w:val="clear" w:color="auto" w:fill="ecfdf0"/>
      </w:pPr>
      <w:r>
        <w:t>|[deviceCardRechargingMachine](#5583-devicecardrechargingmachine) |dCRMe |</w:t>
      </w:r>
    </w:p>
    <w:p>
      <w:pPr>
        <w:pStyle w:val="CodeChangeLine"/>
      </w:pPr>
      <w:r>
        <w:t>|[deviceClothesDryer](#5543-deviceclothesdryer) |deCDr |</w:t>
      </w:r>
    </w:p>
    <w:p>
      <w:pPr>
        <w:pStyle w:val="CodeChangeLine"/>
      </w:pPr>
      <w:r>
        <w:t>|[deviceClothesWasher](#5544-deviceclotheswasher) |deCWr |</w:t>
      </w:r>
    </w:p>
    <w:p>
      <w:pPr>
        <w:pStyle w:val="CodeChangeLine"/>
      </w:pPr>
      <w:r>
        <w:t>|[deviceClothesWasherDryer](#5545-deviceclotheswasherdryer) |dCWDr |</w:t>
      </w:r>
    </w:p>
    <w:p>
      <w:pPr>
        <w:pStyle w:val="CodeHeader"/>
      </w:pPr>
      <w:r>
        <w:t>@@ -5724,6 +5701,7 @@ In protocol bindings resource type names for device models shall be translated i</w:t>
      </w:r>
    </w:p>
    <w:p>
      <w:pPr>
        <w:pStyle w:val="CodeChangeLine"/>
      </w:pPr>
      <w:r>
        <w:t>|[deviceFoodProbe](#55413-devicefoodprobe) |deFPe |</w:t>
      </w:r>
    </w:p>
    <w:p>
      <w:pPr>
        <w:pStyle w:val="CodeChangeLine"/>
      </w:pPr>
      <w:r>
        <w:t>|[deviceFreezer](#55414-devicefreezer) |devFr |</w:t>
      </w:r>
    </w:p>
    <w:p>
      <w:pPr>
        <w:pStyle w:val="CodeChangeLine"/>
      </w:pPr>
      <w:r>
        <w:t>|[deviceGlucosemeter](#5532-deviceglucosemeter) |devGr |</w:t>
      </w:r>
    </w:p>
    <w:p>
      <w:pPr>
        <w:pStyle w:val="CodeChangeLine"/>
        <w:shd w:val="clear" w:color="auto" w:fill="ecfdf0"/>
      </w:pPr>
      <w:r>
        <w:t>|[deviceHandheldPTTTerminal](#5581-devicehandheldpttterminal) |dHPTl |</w:t>
      </w:r>
    </w:p>
    <w:p>
      <w:pPr>
        <w:pStyle w:val="CodeChangeLine"/>
      </w:pPr>
      <w:r>
        <w:t>|[deviceHeartRateMonitor](#5533-deviceheartratemonitor) |dHRMr |</w:t>
      </w:r>
    </w:p>
    <w:p>
      <w:pPr>
        <w:pStyle w:val="CodeChangeLine"/>
      </w:pPr>
      <w:r>
        <w:t>|[deviceHomeCCTV](#55415-devicehomecctv) |dHCCT |</w:t>
      </w:r>
    </w:p>
    <w:p>
      <w:pPr>
        <w:pStyle w:val="CodeChangeLine"/>
      </w:pPr>
      <w:r>
        <w:t>|[deviceHumidifier](#55416-devicehumidifier) |devHr |</w:t>
      </w:r>
    </w:p>
    <w:p>
      <w:pPr>
        <w:pStyle w:val="CodeHeader"/>
      </w:pPr>
      <w:r>
        <w:t>@@ -5743,13 +5721,16 @@ In protocol bindings resource type names for device models shall be translated i</w:t>
      </w:r>
    </w:p>
    <w:p>
      <w:pPr>
        <w:pStyle w:val="CodeChangeLine"/>
      </w:pPr>
      <w:r>
        <w:t>|[deviceSetTopBox](#55424-devicesettopbox) |dSTBx |</w:t>
      </w:r>
    </w:p>
    <w:p>
      <w:pPr>
        <w:pStyle w:val="CodeChangeLine"/>
      </w:pPr>
      <w:r>
        <w:t>|[deviceShoesWasher](#55435-deviceshoeswasher) |deSWr |</w:t>
      </w:r>
    </w:p>
    <w:p>
      <w:pPr>
        <w:pStyle w:val="CodeChangeLine"/>
      </w:pPr>
      <w:r>
        <w:t>|[deviceSmartElectricMeter](#5523-devicesmartelectricmeter) |dSEMr |</w:t>
      </w:r>
    </w:p>
    <w:p>
      <w:pPr>
        <w:pStyle w:val="CodeChangeLine"/>
        <w:shd w:val="clear" w:color="auto" w:fill="ecfdf0"/>
      </w:pPr>
      <w:r>
        <w:t>|[deviceSmartGate](#5584-devicesmartgate) |deSGe |</w:t>
      </w:r>
    </w:p>
    <w:p>
      <w:pPr>
        <w:pStyle w:val="CodeChangeLine"/>
      </w:pPr>
      <w:r>
        <w:t>|[deviceSmartPlug](#55111-devicesmartplug) |deSPg |</w:t>
      </w:r>
    </w:p>
    <w:p>
      <w:pPr>
        <w:pStyle w:val="CodeChangeLine"/>
        <w:shd w:val="clear" w:color="auto" w:fill="ecfdf0"/>
      </w:pPr>
      <w:r>
        <w:t>|[deviceSmartScreenDoor](#5585-devicesmartscreendoor) |dSSDr |</w:t>
      </w:r>
    </w:p>
    <w:p>
      <w:pPr>
        <w:pStyle w:val="CodeChangeLine"/>
      </w:pPr>
      <w:r>
        <w:t>|[deviceSteamCloset](#55425-devicesteamcloset) |deSCt |</w:t>
      </w:r>
    </w:p>
    <w:p>
      <w:pPr>
        <w:pStyle w:val="CodeChangeLine"/>
      </w:pPr>
      <w:r>
        <w:t>|[deviceStorageBattery](#55426-devicestoragebattery) |deSBy |</w:t>
      </w:r>
    </w:p>
    <w:p>
      <w:pPr>
        <w:pStyle w:val="CodeChangeLine"/>
      </w:pPr>
      <w:r>
        <w:t>|[deviceSwitch](#55112-deviceswitch) |devSh |</w:t>
      </w:r>
    </w:p>
    <w:p>
      <w:pPr>
        <w:pStyle w:val="CodeChangeLine"/>
      </w:pPr>
      <w:r>
        <w:t>|[deviceTelevision](#55427-devicetelevision) |devTn |</w:t>
      </w:r>
    </w:p>
    <w:p>
      <w:pPr>
        <w:pStyle w:val="CodeChangeLine"/>
      </w:pPr>
      <w:r>
        <w:t>|[deviceThermometer](#55113-devicethermometer) |devTr |</w:t>
      </w:r>
    </w:p>
    <w:p>
      <w:pPr>
        <w:pStyle w:val="CodeChangeLine"/>
      </w:pPr>
      <w:r>
        <w:t>|[deviceThermostat](#55114-devicethermostat) |devTt |</w:t>
      </w:r>
    </w:p>
    <w:p>
      <w:pPr>
        <w:pStyle w:val="CodeChangeLine"/>
        <w:shd w:val="clear" w:color="auto" w:fill="ecfdf0"/>
      </w:pPr>
      <w:r>
        <w:t>|[deviceTrainborneTerminal](#5582-devicetrainborneterminal) | deTTl |</w:t>
      </w:r>
    </w:p>
    <w:p>
      <w:pPr>
        <w:pStyle w:val="CodeChangeLine"/>
      </w:pPr>
      <w:r>
        <w:t>|[deviceWaterHeater](#55428-devicewaterheater) |deWHr |</w:t>
      </w:r>
    </w:p>
    <w:p>
      <w:pPr>
        <w:pStyle w:val="CodeChangeLine"/>
      </w:pPr>
      <w:r>
        <w:t>|[deviceWaterValve](#55115-devicewatervalve) |deWVe |</w:t>
      </w:r>
    </w:p>
    <w:p>
      <w:pPr>
        <w:pStyle w:val="CodeChangeLine"/>
      </w:pPr>
      <w:r>
        <w:t>|[deviceWeightScaleAndBodyCompositionAnalyser](#5535-deviceweightscaleandbodycompositionanalyser) |dWSAB |</w:t>
      </w:r>
    </w:p>
    <w:p>
      <w:pPr>
        <w:pStyle w:val="CodeHeader"/>
      </w:pPr>
      <w:r>
        <w:t>@@ -5760,7 +5741,6 @@ In protocol bindings resource type names for device models shall be translated i</w:t>
      </w:r>
    </w:p>
    <w:p>
      <w:pPr>
        <w:pStyle w:val="CodeChangeLine"/>
      </w:pPr>
      <w:r>
        <w:t>|[flexNode](#581-flexnode) |fleNe |</w:t>
      </w:r>
    </w:p>
    <w:p>
      <w:pPr>
        <w:pStyle w:val="CodeChangeLine"/>
      </w:pPr>
      <w:r/>
    </w:p>
    <w:p>
      <w:pPr>
        <w:pStyle w:val="CodeChangeLine"/>
      </w:pPr>
      <w:r/>
    </w:p>
    <w:p>
      <w:pPr>
        <w:pStyle w:val="CodeChangeLine"/>
        <w:shd w:val="clear" w:color="auto" w:fill="fbe9eb"/>
      </w:pPr>
      <w:r/>
    </w:p>
    <w:p>
      <w:pPr>
        <w:pStyle w:val="CodeChangeLine"/>
      </w:pPr>
      <w:r>
        <w:t>In protocol bindings resource type names for SubDevice model shall be translated into short names of Table 6.3.2-2.</w:t>
      </w:r>
    </w:p>
    <w:p>
      <w:pPr>
        <w:pStyle w:val="CodeChangeLine"/>
      </w:pPr>
      <w:r/>
    </w:p>
    <w:p>
      <w:pPr>
        <w:pStyle w:val="CodeChangeLine"/>
      </w:pPr>
      <w:r>
        <w:t>**Table 6.3.2-2: Specialization type short names (SubDevice models)**</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RDM-2025-0047-Add_missing_short_names_for_railway_domain_devices</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60/diffs?commit_id=aa1b49d6d06974b606b19fbaf6bf809f08340c2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6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