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675332" w:rsidP="005764A1">
            <w:pPr>
              <w:pStyle w:val="oneM2M-CoverTableText"/>
            </w:pPr>
            <w:fldSimple w:instr=" DOCPROPERTY  CrTitle  \* MERGEFORMAT ">
              <w:r>
                <w:t>RDM#69.2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675332" w:rsidP="005764A1">
            <w:pPr>
              <w:pStyle w:val="oneM2M-CoverTableText"/>
              <w:rPr>
                <w:lang w:val="es-ES"/>
              </w:rPr>
            </w:pPr>
            <w:fldSimple w:instr=" DOCPROPERTY  CrTitle  \* MERGEFORMAT ">
              <w:r>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675332" w:rsidP="005764A1">
            <w:pPr>
              <w:pStyle w:val="oneM2M-CoverTableText"/>
            </w:pPr>
            <w:fldSimple w:instr=" DOCPROPERTY  CrTitle  \* MERGEFORMAT ">
              <w:r>
                <w:t>2025-05-27</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675332" w:rsidP="005764A1">
            <w:pPr>
              <w:pStyle w:val="oneM2M-CoverTableText"/>
            </w:pPr>
            <w:fldSimple w:instr=" DOCPROPERTY  CrTitle  \* MERGEFORMAT ">
              <w:r>
                <w:t>Fixed_editor_notes_after_conversion</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675332" w:rsidP="005764A1">
            <w:pPr>
              <w:pStyle w:val="1tableentryleft"/>
              <w:rPr>
                <w:rFonts w:ascii="Times New Roman" w:hAnsi="Times New Roman"/>
                <w:sz w:val="24"/>
              </w:rPr>
            </w:pPr>
            <w:fldSimple w:instr=" DOCPROPERTY  CrTitle  \* MERGEFORMAT ">
              <w:r>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675332" w:rsidP="005764A1">
            <w:pPr>
              <w:pStyle w:val="oneM2M-CoverTableText"/>
            </w:pPr>
            <w:fldSimple w:instr=" DOCPROPERTY  CrTitle  \* MERGEFORMAT ">
              <w:r>
                <w:t>TR-0001</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675332" w:rsidP="005764A1">
            <w:pPr>
              <w:rPr>
                <w:lang w:eastAsia="ko-KR"/>
              </w:rPr>
            </w:pPr>
            <w:fldSimple w:instr=" DOCPROPERTY  CrTitle  \* MERGEFORMAT ">
              <w:r>
                <w:t>0, 2.2, 5.1.6, 5.1.10, 5.2.1, 5.2.8, 5.2.10, 5.3.6, 5.3.8, 5.4.8, 6.1.6, 6.1.8, 6.2.8, 6.3.10, 6.4.5, 6.5.6, 7.4.7, 7.4.8, 7.4.9, 6.5.6, 7.1.7, 7.1.9, 7.4.5, 7.4.7, 7.4.8, 7.4.9, 8.2.8, 8.3, 8.4, 8.5.8, 8.6.5, 8.6.7, 8.6.8, 8.7.5, 8.7.8, 8.8.5, 8.8.7, 8.8.8, 9.1.8, 9.1.10, 9.3.1, 9.3.2, 9.3.6, 9.3.8, 9.4.8, 9.6.8, 9.7.8, 9.8, 9.9.4, 9.9.5, 9.9.10, 9.19, 10.1.8, 11.1, 11.2, 11.3, 11.4, 11.5, 11.6, 11.7, 11.8, 11.9, 12.1.6, 12.1.8, 12.2.8, 12.6.8, 12.7.1, 12.8.8, 12.10.7, 12.10.8, 12.10.9, 12.11, 12.14.8, 12.15.8, 12.16.6, 12.19.4, 12.19.5, 12.19.9, 12.20.1, 12.20.3, 12.20.8, 12.21.4, 12.22.6, 12.22.8, 12.22.9, 12.23.4, 12.23.7, 12.24.7, 12.24.9, 12.25.7, 12.25.8, 12.25.9, 12.26.2, 12.26.7, 12.26.8, 12.26.9, 12.27.5, 12, 12.27.8, 12.28.4, 12.28.4.1, 12.28.4.6, 12.28.4.9, 12.28.5.1, 12.28.5.7, 12.28.5.9, 12.28.6.1, 12.28.6.7, 12.28.6.8, 12.28.6.9, 12.28.6.10, 12.28.7.1, 12.28.7.7, 12.28.7.9, 12.28.8.1, 12.28.8.7, 12.28.8.8, 12.28.8.9, 12.29.1, 12.29.3, 12.29.9, 12.29.10, 12.30.7, 12.31.9, 12.32.4, 12.33.8, 12.34.7, 12.34.8, 12.35.4, 12.35.6, 12.36.6, 12.36.9</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 “mirror CR” should be posted at the same time of this CR</w:t>
      </w:r>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RDM-2025-0062-Fixed_editor_notes_after_conversion </w:t>
      </w:r>
    </w:p>
    <w:p w14:paraId="25E6A193" w14:textId="36971A44" w:rsidR="001F1CB6" w:rsidRDefault="001F1CB6" w:rsidP="001F1CB6">
      <w:pPr>
        <w:rPr>
          <w:rStyle w:val="Hyperlink"/>
          <w:lang w:val="en-US"/>
        </w:rPr>
      </w:pPr>
      <w:hyperlink r:id="rId11" w:history="1">
        <w:r>
          <w:rPr>
            <w:rStyle w:val="Hyperlink"/>
            <w:lang w:val="en-US"/>
          </w:rPr>
          <w:t>https://git.onem2m.org/specifications/tr/tr-0001/-/merge_requests/4</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https://git.onem2m.org/specifications/tr/tr-0001/-/merge_requests/4/diffs?commit_id=d02c34e066fdad879650a8e4b44b2d8135c0797c</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---a/TR-0001-Use_Cases_Collection.md</w:t>
        <w:br/>
        <w:t>+++b/TR-0001-Use_Cases_Collection.md</w:t>
      </w:r>
    </w:p>
    <w:p>
      <w:pPr>
        <w:pStyle w:val="CodeHeader"/>
      </w:pPr>
      <w:r>
        <w:t>@@ -21,7 +21,7 @@ The present document is provided for future development work within oneM2M only.</w:t>
      </w:r>
    </w:p>
    <w:p>
      <w:pPr>
        <w:pStyle w:val="CodeChangeLine"/>
      </w:pPr>
      <w:r/>
    </w:p>
    <w:p>
      <w:pPr>
        <w:pStyle w:val="CodeChangeLine"/>
      </w:pPr>
      <w:r>
        <w:t>The present document has not been subject to any approval process by the oneM2M Partners Type 1.  Published oneM2M specifications and reports for implementation should be obtained via the oneM2M Partners' Publications Offices.</w:t>
      </w:r>
    </w:p>
    <w:p>
      <w:pPr>
        <w:pStyle w:val="CodeChangeLine"/>
      </w:pPr>
      <w:r/>
    </w:p>
    <w:p>
      <w:pPr>
        <w:pStyle w:val="CodeChangeLine"/>
        <w:shd w:val="clear" w:color="auto" w:fill="fbe9eb"/>
      </w:pPr>
      <w:r>
        <w:t xml:space="preserve">&lt;br /&gt;About oneM2M </w:t>
      </w:r>
    </w:p>
    <w:p>
      <w:pPr>
        <w:pStyle w:val="CodeChangeLine"/>
        <w:shd w:val="clear" w:color="auto" w:fill="ecfdf0"/>
      </w:pPr>
      <w:r>
        <w:t xml:space="preserve">About oneM2M </w:t>
      </w:r>
    </w:p>
    <w:p>
      <w:pPr>
        <w:pStyle w:val="CodeChangeLine"/>
      </w:pPr>
      <w:r/>
    </w:p>
    <w:p>
      <w:pPr>
        <w:pStyle w:val="CodeChangeLine"/>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pPr>
        <w:pStyle w:val="CodeChangeLine"/>
      </w:pPr>
      <w:r/>
    </w:p>
    <w:p>
      <w:pPr>
        <w:pStyle w:val="CodeHeader"/>
      </w:pPr>
      <w:r>
        <w:t>@@ -29,7 +29,7 @@ More information about oneM2M may be found at:  http//www.oneM2M.org</w:t>
      </w:r>
    </w:p>
    <w:p>
      <w:pPr>
        <w:pStyle w:val="CodeChangeLine"/>
      </w:pPr>
      <w:r/>
    </w:p>
    <w:p>
      <w:pPr>
        <w:pStyle w:val="CodeChangeLine"/>
      </w:pPr>
      <w:r>
        <w:t>Copyright Notification</w:t>
      </w:r>
    </w:p>
    <w:p>
      <w:pPr>
        <w:pStyle w:val="CodeChangeLine"/>
      </w:pPr>
      <w:r/>
    </w:p>
    <w:p>
      <w:pPr>
        <w:pStyle w:val="CodeChangeLine"/>
        <w:shd w:val="clear" w:color="auto" w:fill="fbe9eb"/>
      </w:pPr>
      <w:r>
        <w:t>&amp;copy; 2021, oneM2M Partners Type 1 (ARIB, ATIS, CCSA, ETSI, TIA, TSDSI, TTA, TTC).</w:t>
      </w:r>
    </w:p>
    <w:p>
      <w:pPr>
        <w:pStyle w:val="CodeChangeLine"/>
        <w:shd w:val="clear" w:color="auto" w:fill="ecfdf0"/>
      </w:pPr>
      <w:r>
        <w:t>&amp;copy; 2025, oneM2M Partners Type 1 (ARIB, ATIS, CCSA, ETSI, TIA, TSDSI, TTA, TTC).</w:t>
      </w:r>
    </w:p>
    <w:p>
      <w:pPr>
        <w:pStyle w:val="CodeChangeLine"/>
      </w:pPr>
      <w:r/>
    </w:p>
    <w:p>
      <w:pPr>
        <w:pStyle w:val="CodeChangeLine"/>
      </w:pPr>
      <w:r>
        <w:t>All rights reserved.</w:t>
      </w:r>
    </w:p>
    <w:p>
      <w:pPr>
        <w:pStyle w:val="CodeChangeLine"/>
      </w:pPr>
      <w:r/>
    </w:p>
    <w:p>
      <w:pPr>
        <w:pStyle w:val="CodeHeader"/>
      </w:pPr>
      <w:r>
        <w:t>@@ -72,39 +72,39 @@ The following referenced documents are not necessary for the application of the</w:t>
      </w:r>
    </w:p>
    <w:p>
      <w:pPr>
        <w:pStyle w:val="CodeChangeLine"/>
      </w:pPr>
      <w:r>
        <w:t>&lt;mark&gt;Editor note: i.1 is present twice in the list of references&lt;/mark&gt;</w:t>
      </w:r>
    </w:p>
    <w:p>
      <w:pPr>
        <w:pStyle w:val="CodeChangeLine"/>
      </w:pPr>
      <w:r/>
    </w:p>
    <w:p>
      <w:pPr>
        <w:pStyle w:val="CodeChangeLine"/>
      </w:pPr>
      <w:r>
        <w:t>- &lt;a name="_ref_i.1"&gt;[i.1]&lt;/a&gt;   oneM2M Drafting Rules ([http://member.onem2m.org/Static\_pages/Others/Rules\_Pages/oneM2M-Drafting-Rules-V1\_0.doc](http://member.onem2m.org/Static\_pages/Others/Rules\_Pages/oneM2M-Drafting-Rules-V1\_0.doc))</w:t>
      </w:r>
    </w:p>
    <w:p>
      <w:pPr>
        <w:pStyle w:val="CodeChangeLine"/>
        <w:shd w:val="clear" w:color="auto" w:fill="fbe9eb"/>
      </w:pPr>
      <w:r>
        <w:t>- &lt;a name="_ref_i.1"&gt;[i.1]&lt;/a&gt;</w:t>
        <w:tab/>
        <w:t xml:space="preserve">ETSI TR 102 935 v2.1.1, Machine to Machine communications (M2M);Applicability of M2M architecture to Smart Grid Networks; Impact of Smart Grids on M2M platform </w:t>
      </w:r>
    </w:p>
    <w:p>
      <w:pPr>
        <w:pStyle w:val="CodeChangeLine"/>
        <w:shd w:val="clear" w:color="auto" w:fill="fbe9eb"/>
      </w:pPr>
      <w:r>
        <w:t>- &lt;a name="_ref_i.2"&gt;[i.2]&lt;/a&gt;</w:t>
        <w:tab/>
        <w:t>ETSI TS  102 689 V1.1.1, Machine-to-Machine communications (M2M);M2M service requirements</w:t>
      </w:r>
    </w:p>
    <w:p>
      <w:pPr>
        <w:pStyle w:val="CodeChangeLine"/>
        <w:shd w:val="clear" w:color="auto" w:fill="fbe9eb"/>
      </w:pPr>
      <w:r>
        <w:t>- &lt;a name="_ref_i.3"&gt;[i.3]&lt;/a&gt;</w:t>
        <w:tab/>
        <w:t>ETSI TR 102 732, Machine to Machine Communications (M2M); Use cases of M2M applications for eHealth</w:t>
      </w:r>
    </w:p>
    <w:p>
      <w:pPr>
        <w:pStyle w:val="CodeChangeLine"/>
        <w:shd w:val="clear" w:color="auto" w:fill="fbe9eb"/>
      </w:pPr>
      <w:r>
        <w:t>- &lt;a name="_ref_i.4"&gt;[i.4]&lt;/a&gt;</w:t>
        <w:tab/>
        <w:t>ETSI TR 102 897, Machine to Machine Communications (M2M);Use cases of M2M applications for City Automation</w:t>
      </w:r>
    </w:p>
    <w:p>
      <w:pPr>
        <w:pStyle w:val="CodeChangeLine"/>
        <w:shd w:val="clear" w:color="auto" w:fill="fbe9eb"/>
      </w:pPr>
      <w:r>
        <w:t>- &lt;a name="_ref_i.5"&gt;[i.5]&lt;/a&gt;</w:t>
        <w:tab/>
        <w:t>HGI-GD017-R3, Use Cases and Architecture for a Home Energy Management Service</w:t>
      </w:r>
    </w:p>
    <w:p>
      <w:pPr>
        <w:pStyle w:val="CodeChangeLine"/>
        <w:shd w:val="clear" w:color="auto" w:fill="fbe9eb"/>
      </w:pPr>
      <w:r>
        <w:t>- &lt;a name="_ref_i.6"&gt;[i.6]&lt;/a&gt;</w:t>
        <w:tab/>
        <w:t xml:space="preserve">ISO/ IEC 15118 Road vehicles, vehicle to grid communication </w:t>
      </w:r>
    </w:p>
    <w:p>
      <w:pPr>
        <w:pStyle w:val="CodeChangeLine"/>
        <w:shd w:val="clear" w:color="auto" w:fill="fbe9eb"/>
      </w:pPr>
      <w:r>
        <w:t>- &lt;a name="_ref_i.7"&gt;[i.7]&lt;/a&gt;</w:t>
        <w:tab/>
        <w:t>Mandate 486, MANDATE FOR PROGRAMMING AND STANDARDISATION ADDRESSED TO THE EUROPEAN STANDARDISATION BODIES IN THE FIELD OF URBAN RAIL</w:t>
      </w:r>
    </w:p>
    <w:p>
      <w:pPr>
        <w:pStyle w:val="CodeChangeLine"/>
        <w:shd w:val="clear" w:color="auto" w:fill="fbe9eb"/>
      </w:pPr>
      <w:r>
        <w:t>- &lt;a name="_ref_i.8"&gt;[i.8]&lt;/a&gt;</w:t>
        <w:tab/>
        <w:t xml:space="preserve">DIN specification 70121, ELECTROMOBILITY - DIGITAL COMMUNICATION BETWEEN A D.C. EV CHARGING STATION AND AN ELECTRIC VEHICLE FOR CONTROL OF D.C. CHARGING IN THE COMBINED CHARGING SYSTEM </w:t>
      </w:r>
    </w:p>
    <w:p>
      <w:pPr>
        <w:pStyle w:val="CodeChangeLine"/>
        <w:shd w:val="clear" w:color="auto" w:fill="fbe9eb"/>
      </w:pPr>
      <w:r>
        <w:t>- &lt;a name="_ref_i.9"&gt;[i.9]&lt;/a&gt;</w:t>
        <w:tab/>
        <w:t>ETSI TR 102 638, Intelligent Transport Systems (ITS);Vehicular Communications; Basic Set of Applications; Definitions</w:t>
      </w:r>
    </w:p>
    <w:p>
      <w:pPr>
        <w:pStyle w:val="CodeChangeLine"/>
        <w:shd w:val="clear" w:color="auto" w:fill="fbe9eb"/>
      </w:pPr>
      <w:r>
        <w:t>- &lt;a name="_ref_i.10"&gt;[i.10]&lt;/a&gt;</w:t>
        <w:tab/>
        <w:t>3GPP TS 22.368, Service requirements for Machine-Type Communications (MTC); Stage 2</w:t>
      </w:r>
    </w:p>
    <w:p>
      <w:pPr>
        <w:pStyle w:val="CodeChangeLine"/>
        <w:shd w:val="clear" w:color="auto" w:fill="fbe9eb"/>
      </w:pPr>
      <w:r>
        <w:t>- &lt;a name="_ref_i.11"&gt;[i.11]&lt;/a&gt;</w:t>
        <w:tab/>
        <w:t>3GPP TS 23.682, Architecture enhancements to facilitate communications with packet data networks and applications</w:t>
      </w:r>
    </w:p>
    <w:p>
      <w:pPr>
        <w:pStyle w:val="CodeChangeLine"/>
        <w:shd w:val="clear" w:color="auto" w:fill="fbe9eb"/>
      </w:pPr>
      <w:r>
        <w:t>- &lt;a name="_ref_i.12"&gt;[i.12]&lt;/a&gt;</w:t>
        <w:tab/>
        <w:t>3GPP TR 23.887, Architectural Enhancements for Machine Type and other mobile data applications</w:t>
      </w:r>
    </w:p>
    <w:p>
      <w:pPr>
        <w:pStyle w:val="CodeChangeLine"/>
        <w:shd w:val="clear" w:color="auto" w:fill="fbe9eb"/>
      </w:pPr>
      <w:r>
        <w:t>- &lt;a name="_ref_i.13"&gt;[i.13]&lt;/a&gt;</w:t>
        <w:tab/>
        <w:t>Communications Guidelines defined in Continua Health Alliance, The Continua Health Alliance, Version 2012 Design Guidelines</w:t>
      </w:r>
    </w:p>
    <w:p>
      <w:pPr>
        <w:pStyle w:val="CodeChangeLine"/>
        <w:shd w:val="clear" w:color="auto" w:fill="fbe9eb"/>
      </w:pPr>
      <w:r>
        <w:t>- &lt;a name="_ref_i.14"&gt;[i.14]&lt;/a&gt;</w:t>
        <w:tab/>
        <w:t>oneM2M TS-0002 Requirements Technical Specification</w:t>
      </w:r>
    </w:p>
    <w:p>
      <w:pPr>
        <w:pStyle w:val="CodeChangeLine"/>
        <w:shd w:val="clear" w:color="auto" w:fill="fbe9eb"/>
      </w:pPr>
      <w:r>
        <w:t>- &lt;a name="_ref_i.15"&gt;[i.15]&lt;/a&gt;</w:t>
        <w:tab/>
        <w:t>ETSI TS103.383 Smart Cards; Embedded UICC; Requirements Specification</w:t>
      </w:r>
    </w:p>
    <w:p>
      <w:pPr>
        <w:pStyle w:val="CodeChangeLine"/>
        <w:shd w:val="clear" w:color="auto" w:fill="fbe9eb"/>
      </w:pPr>
      <w:r>
        <w:t>- &lt;a name="_ref_i.16"&gt;[i.16]&lt;/a&gt;</w:t>
        <w:tab/>
        <w:t>IEC 61850 Communication networks and systems in substations</w:t>
      </w:r>
    </w:p>
    <w:p>
      <w:pPr>
        <w:pStyle w:val="CodeChangeLine"/>
        <w:shd w:val="clear" w:color="auto" w:fill="fbe9eb"/>
      </w:pPr>
      <w:r>
        <w:t>- &lt;a name="_ref_i.17"&gt;[i.17]&lt;/a&gt;</w:t>
        <w:tab/>
        <w:t>oneM2M TR-0013 Home Domain Enablement Technical Report</w:t>
      </w:r>
    </w:p>
    <w:p>
      <w:pPr>
        <w:pStyle w:val="CodeChangeLine"/>
        <w:shd w:val="clear" w:color="auto" w:fill="fbe9eb"/>
      </w:pPr>
      <w:r>
        <w:t>- &lt;a name="_ref_i.18"&gt;[i.18]&lt;/a&gt;</w:t>
        <w:tab/>
        <w:t>oneM2M TR-0018 Industrial Domain Enablement Technical Report</w:t>
      </w:r>
    </w:p>
    <w:p>
      <w:pPr>
        <w:pStyle w:val="CodeChangeLine"/>
        <w:shd w:val="clear" w:color="auto" w:fill="fbe9eb"/>
      </w:pPr>
      <w:r>
        <w:t>- &lt;a name="_ref_i.19"&gt;[i.19]&lt;/a&gt;</w:t>
        <w:tab/>
        <w:t>oneM2M TR-0016 Authorization Architecture and Access Control Policy</w:t>
      </w:r>
    </w:p>
    <w:p>
      <w:pPr>
        <w:pStyle w:val="CodeChangeLine"/>
        <w:shd w:val="clear" w:color="auto" w:fill="fbe9eb"/>
      </w:pPr>
      <w:r>
        <w:t>- &lt;a name="_ref_i.20"&gt;[i.20]&lt;/a&gt;</w:t>
        <w:tab/>
        <w:t>oneM2M TR-0026 Vehicular Domain Enablement Technical Report</w:t>
      </w:r>
    </w:p>
    <w:p>
      <w:pPr>
        <w:pStyle w:val="CodeChangeLine"/>
        <w:shd w:val="clear" w:color="auto" w:fill="fbe9eb"/>
      </w:pPr>
      <w:r>
        <w:t>- &lt;a name="_ref_i.21"&gt;[i.21]&lt;/a&gt;</w:t>
        <w:tab/>
        <w:t>ETSI TR 103 546 SmartM2M: Requirement &amp; Feasibility study for Smart Lifts in IoT</w:t>
      </w:r>
    </w:p>
    <w:p>
      <w:pPr>
        <w:pStyle w:val="CodeChangeLine"/>
        <w:shd w:val="clear" w:color="auto" w:fill="fbe9eb"/>
      </w:pPr>
      <w:r>
        <w:t>- &lt;a name="_ref_i.22"&gt;[i.22]&lt;/a&gt;</w:t>
        <w:tab/>
        <w:t>ETSI TR 103 714 SmartM2M; Study for oneM2M Discovery and Query use cases and requirements</w:t>
      </w:r>
    </w:p>
    <w:p>
      <w:pPr>
        <w:pStyle w:val="CodeChangeLine"/>
        <w:shd w:val="clear" w:color="auto" w:fill="fbe9eb"/>
      </w:pPr>
      <w:r>
        <w:t>- &lt;a name="_ref_i.23"&gt;[i.23]&lt;/a&gt;</w:t>
        <w:tab/>
        <w:t>Lixin Gao. On inferring autonomous system relationships in the internet. IEEE/ACM Trans. Netw. 9(6): 733-745, 2001 [https://dl.acm.org/doi/10.1109/90.974527](https://dl.acm.org/doi/10.1109/90.974527)</w:t>
      </w:r>
    </w:p>
    <w:p>
      <w:pPr>
        <w:pStyle w:val="CodeChangeLine"/>
        <w:shd w:val="clear" w:color="auto" w:fill="fbe9eb"/>
      </w:pPr>
      <w:r>
        <w:t>- &lt;a name="_ref_i.24"&gt;[i.24]&lt;/a&gt;</w:t>
        <w:tab/>
        <w:t>Luigi Liquori, Rossano Gaeta, and Matteo Sereno. A Network Aware Resource Discovery Service. EPEW 2019 - 16th European Performance Engineering Workshop, Nov 2019, Milano, Italy, Volume 12039 of Lecture Notes in Computer Science, Springer Verlag, pages 84-99, 2019, [https://hal.inria.fr/hal-01895452](https://hal.inria.fr/hal-01895452)</w:t>
      </w:r>
    </w:p>
    <w:p>
      <w:pPr>
        <w:pStyle w:val="CodeChangeLine"/>
        <w:shd w:val="clear" w:color="auto" w:fill="fbe9eb"/>
      </w:pPr>
      <w:r>
        <w:t>- &lt;a name="_ref_i.25"&gt;[i.25]&lt;/a&gt;</w:t>
        <w:tab/>
        <w:t>Raphael Chand and Michel Cosnard and Luigi Liquori. Powerful resource discovery for Arigatoni overlay network. Future Generation Computing System, volume 23, number 1, pages 31-38, 2008, [https://hal.inria.fr/hal-00909630](https://hal.inria.fr/hal-00909630)</w:t>
      </w:r>
    </w:p>
    <w:p>
      <w:pPr>
        <w:pStyle w:val="CodeChangeLine"/>
        <w:shd w:val="clear" w:color="auto" w:fill="fbe9eb"/>
      </w:pPr>
      <w:r>
        <w:t>- &lt;a name="_ref_i.26"&gt;[i.26]&lt;/a&gt;</w:t>
        <w:tab/>
        <w:t>IETF RFC 4271: Border Gateway Protocol 4 (BGP4), 2006,, [https://tools.ietf.org/html/rfc4271](https://tools.ietf.org/html/rfc4271)</w:t>
      </w:r>
    </w:p>
    <w:p>
      <w:pPr>
        <w:pStyle w:val="CodeChangeLine"/>
        <w:shd w:val="clear" w:color="auto" w:fill="fbe9eb"/>
      </w:pPr>
      <w:r>
        <w:t>- &lt;a name="_ref_i.27"&gt;[i.27]&lt;/a&gt;</w:t>
        <w:tab/>
        <w:t>oneM2M TS-0012 oneM2M Base Ontology</w:t>
      </w:r>
    </w:p>
    <w:p>
      <w:pPr>
        <w:pStyle w:val="CodeChangeLine"/>
        <w:shd w:val="clear" w:color="auto" w:fill="fbe9eb"/>
      </w:pPr>
      <w:r>
        <w:t>- &lt;a name="_ref_i.28"&gt;[i.28]&lt;/a&gt;</w:t>
        <w:tab/>
        <w:t>oneM2M TR-0045 Developer Guide Implementing Semantics</w:t>
      </w:r>
    </w:p>
    <w:p>
      <w:pPr>
        <w:pStyle w:val="CodeChangeLine"/>
        <w:shd w:val="clear" w:color="auto" w:fill="fbe9eb"/>
      </w:pPr>
      <w:r>
        <w:t>- &lt;a name="_ref_i.29"&gt;[i.29]&lt;/a&gt;</w:t>
        <w:tab/>
        <w:t>oneM2M TS-0001 Functional Architecture</w:t>
      </w:r>
    </w:p>
    <w:p>
      <w:pPr>
        <w:pStyle w:val="CodeChangeLine"/>
        <w:shd w:val="clear" w:color="auto" w:fill="fbe9eb"/>
      </w:pPr>
      <w:r>
        <w:t>- &lt;a name="_ref_i.30"&gt;[i.30]&lt;/a&gt;</w:t>
        <w:tab/>
        <w:t>ETSI SR 003 680 SmartM2M; Guidelines for Security, Privacy and Interoperability in IoT System Definition; A Concrete Approach</w:t>
      </w:r>
    </w:p>
    <w:p>
      <w:pPr>
        <w:pStyle w:val="CodeChangeLine"/>
        <w:shd w:val="clear" w:color="auto" w:fill="fbe9eb"/>
      </w:pPr>
      <w:r>
        <w:t>- &lt;a name="_ref_i.31"&gt;[i.31]&lt;/a&gt;</w:t>
        <w:tab/>
        <w:t>AIOTI Report: IoT Relation and Impact on 5G, Release 3.0, https://aioti.eu/wp-content/uploads/2020/05/AIOTI-IoT-relation-and-impact-on-5G-R3-Published.pdf</w:t>
      </w:r>
    </w:p>
    <w:p>
      <w:pPr>
        <w:pStyle w:val="CodeChangeLine"/>
        <w:shd w:val="clear" w:color="auto" w:fill="fbe9eb"/>
      </w:pPr>
      <w:r>
        <w:t>- &lt;a name="_ref_i.32"&gt;[i.32]&lt;/a&gt;</w:t>
        <w:tab/>
        <w:t>oneM2M TS-0002 Requirements</w:t>
      </w:r>
    </w:p>
    <w:p>
      <w:pPr>
        <w:pStyle w:val="CodeChangeLine"/>
        <w:shd w:val="clear" w:color="auto" w:fill="fbe9eb"/>
      </w:pPr>
      <w:r>
        <w:t>- &lt;a name="_ref_i.33"&gt;[i.33]&lt;/a&gt;</w:t>
        <w:tab/>
        <w:t>oneM2M TS-0034 Semantic Support</w:t>
      </w:r>
    </w:p>
    <w:p>
      <w:pPr>
        <w:pStyle w:val="CodeChangeLine"/>
        <w:shd w:val="clear" w:color="auto" w:fill="ecfdf0"/>
      </w:pPr>
      <w:r>
        <w:t xml:space="preserve">- &lt;a name="_ref_i.1"&gt;[i.1]&lt;/a&gt;   ETSI TR 102 935 v2.1.1, Machine to Machine communications (M2M);Applicability of M2M architecture to Smart Grid Networks; Impact of Smart Grids on M2M platform </w:t>
      </w:r>
    </w:p>
    <w:p>
      <w:pPr>
        <w:pStyle w:val="CodeChangeLine"/>
        <w:shd w:val="clear" w:color="auto" w:fill="ecfdf0"/>
      </w:pPr>
      <w:r>
        <w:t>- &lt;a name="_ref_i.2"&gt;[i.2]&lt;/a&gt;   ETSI TS  102 689 V1.1.1, Machine-to-Machine communications (M2M);M2M service requirements</w:t>
      </w:r>
    </w:p>
    <w:p>
      <w:pPr>
        <w:pStyle w:val="CodeChangeLine"/>
        <w:shd w:val="clear" w:color="auto" w:fill="ecfdf0"/>
      </w:pPr>
      <w:r>
        <w:t>- &lt;a name="_ref_i.3"&gt;[i.3]&lt;/a&gt;   ETSI TR 102 732, Machine to Machine Communications (M2M); Use cases of M2M applications for eHealth</w:t>
      </w:r>
    </w:p>
    <w:p>
      <w:pPr>
        <w:pStyle w:val="CodeChangeLine"/>
        <w:shd w:val="clear" w:color="auto" w:fill="ecfdf0"/>
      </w:pPr>
      <w:r>
        <w:t>- &lt;a name="_ref_i.4"&gt;[i.4]&lt;/a&gt;   ETSI TR 102 897, Machine to Machine Communications (M2M);Use cases of M2M applications for City Automation</w:t>
      </w:r>
    </w:p>
    <w:p>
      <w:pPr>
        <w:pStyle w:val="CodeChangeLine"/>
        <w:shd w:val="clear" w:color="auto" w:fill="ecfdf0"/>
      </w:pPr>
      <w:r>
        <w:t>- &lt;a name="_ref_i.5"&gt;[i.5]&lt;/a&gt;   HGI-GD017-R3, Use Cases and Architecture for a Home Energy Management Service</w:t>
      </w:r>
    </w:p>
    <w:p>
      <w:pPr>
        <w:pStyle w:val="CodeChangeLine"/>
        <w:shd w:val="clear" w:color="auto" w:fill="ecfdf0"/>
      </w:pPr>
      <w:r>
        <w:t xml:space="preserve">- &lt;a name="_ref_i.6"&gt;[i.6]&lt;/a&gt;   ISO/ IEC 15118 Road vehicles, vehicle to grid communication </w:t>
      </w:r>
    </w:p>
    <w:p>
      <w:pPr>
        <w:pStyle w:val="CodeChangeLine"/>
        <w:shd w:val="clear" w:color="auto" w:fill="ecfdf0"/>
      </w:pPr>
      <w:r>
        <w:t>- &lt;a name="_ref_i.7"&gt;[i.7]&lt;/a&gt;   Mandate 486, MANDATE FOR PROGRAMMING AND STANDARDISATION ADDRESSED TO THE EUROPEAN STANDARDISATION BODIES IN THE FIELD OF URBAN RAIL</w:t>
      </w:r>
    </w:p>
    <w:p>
      <w:pPr>
        <w:pStyle w:val="CodeChangeLine"/>
        <w:shd w:val="clear" w:color="auto" w:fill="ecfdf0"/>
      </w:pPr>
      <w:r>
        <w:t xml:space="preserve">- &lt;a name="_ref_i.8"&gt;[i.8]&lt;/a&gt;   DIN specification 70121, ELECTROMOBILITY - DIGITAL COMMUNICATION BETWEEN A D.C. EV CHARGING STATION AND AN ELECTRIC VEHICLE FOR CONTROL OF D.C. CHARGING IN THE COMBINED CHARGING SYSTEM </w:t>
      </w:r>
    </w:p>
    <w:p>
      <w:pPr>
        <w:pStyle w:val="CodeChangeLine"/>
        <w:shd w:val="clear" w:color="auto" w:fill="ecfdf0"/>
      </w:pPr>
      <w:r>
        <w:t>- &lt;a name="_ref_i.9"&gt;[i.9]&lt;/a&gt;   ETSI TR 102 638, Intelligent Transport Systems (ITS);Vehicular Communications; Basic Set of Applications; Definitions</w:t>
      </w:r>
    </w:p>
    <w:p>
      <w:pPr>
        <w:pStyle w:val="CodeChangeLine"/>
        <w:shd w:val="clear" w:color="auto" w:fill="ecfdf0"/>
      </w:pPr>
      <w:r>
        <w:t>- &lt;a name="_ref_i.10"&gt;[i.10]&lt;/a&gt; 3GPP TS 22.368, Service requirements for Machine-Type Communications (MTC); Stage 2</w:t>
      </w:r>
    </w:p>
    <w:p>
      <w:pPr>
        <w:pStyle w:val="CodeChangeLine"/>
        <w:shd w:val="clear" w:color="auto" w:fill="ecfdf0"/>
      </w:pPr>
      <w:r>
        <w:t>- &lt;a name="_ref_i.11"&gt;[i.11]&lt;/a&gt; 3GPP TS 23.682, Architecture enhancements to facilitate communications with packet data networks and applications</w:t>
      </w:r>
    </w:p>
    <w:p>
      <w:pPr>
        <w:pStyle w:val="CodeChangeLine"/>
        <w:shd w:val="clear" w:color="auto" w:fill="ecfdf0"/>
      </w:pPr>
      <w:r>
        <w:t>- &lt;a name="_ref_i.12"&gt;[i.12]&lt;/a&gt; 3GPP TR 23.887, Architectural Enhancements for Machine Type and other mobile data applications</w:t>
      </w:r>
    </w:p>
    <w:p>
      <w:pPr>
        <w:pStyle w:val="CodeChangeLine"/>
        <w:shd w:val="clear" w:color="auto" w:fill="ecfdf0"/>
      </w:pPr>
      <w:r>
        <w:t>- &lt;a name="_ref_i.13"&gt;[i.13]&lt;/a&gt; Communications Guidelines defined in Continua Health Alliance, The Continua Health Alliance, Version 2012 Design Guidelines</w:t>
      </w:r>
    </w:p>
    <w:p>
      <w:pPr>
        <w:pStyle w:val="CodeChangeLine"/>
        <w:shd w:val="clear" w:color="auto" w:fill="ecfdf0"/>
      </w:pPr>
      <w:r>
        <w:t>- &lt;a name="_ref_i.14"&gt;[i.14]&lt;/a&gt; oneM2M TS-0002 Requirements Technical Specification</w:t>
      </w:r>
    </w:p>
    <w:p>
      <w:pPr>
        <w:pStyle w:val="CodeChangeLine"/>
        <w:shd w:val="clear" w:color="auto" w:fill="ecfdf0"/>
      </w:pPr>
      <w:r>
        <w:t>- &lt;a name="_ref_i.15"&gt;[i.15]&lt;/a&gt; ETSI TS103.383 Smart Cards; Embedded UICC; Requirements Specification</w:t>
      </w:r>
    </w:p>
    <w:p>
      <w:pPr>
        <w:pStyle w:val="CodeChangeLine"/>
        <w:shd w:val="clear" w:color="auto" w:fill="ecfdf0"/>
      </w:pPr>
      <w:r>
        <w:t>- &lt;a name="_ref_i.16"&gt;[i.16]&lt;/a&gt; IEC 61850 Communication networks and systems in substations</w:t>
      </w:r>
    </w:p>
    <w:p>
      <w:pPr>
        <w:pStyle w:val="CodeChangeLine"/>
        <w:shd w:val="clear" w:color="auto" w:fill="ecfdf0"/>
      </w:pPr>
      <w:r>
        <w:t>- &lt;a name="_ref_i.17"&gt;[i.17]&lt;/a&gt; oneM2M TR-0013 Home Domain Enablement Technical Report</w:t>
      </w:r>
    </w:p>
    <w:p>
      <w:pPr>
        <w:pStyle w:val="CodeChangeLine"/>
        <w:shd w:val="clear" w:color="auto" w:fill="ecfdf0"/>
      </w:pPr>
      <w:r>
        <w:t>- &lt;a name="_ref_i.18"&gt;[i.18]&lt;/a&gt; oneM2M TR-0018 Industrial Domain Enablement Technical Report</w:t>
      </w:r>
    </w:p>
    <w:p>
      <w:pPr>
        <w:pStyle w:val="CodeChangeLine"/>
        <w:shd w:val="clear" w:color="auto" w:fill="ecfdf0"/>
      </w:pPr>
      <w:r>
        <w:t>- &lt;a name="_ref_i.19"&gt;[i.19]&lt;/a&gt; oneM2M TR-0016 Authorization Architecture and Access Control Policy</w:t>
      </w:r>
    </w:p>
    <w:p>
      <w:pPr>
        <w:pStyle w:val="CodeChangeLine"/>
        <w:shd w:val="clear" w:color="auto" w:fill="ecfdf0"/>
      </w:pPr>
      <w:r>
        <w:t>- &lt;a name="_ref_i.20"&gt;[i.20]&lt;/a&gt; oneM2M TR-0026 Vehicular Domain Enablement Technical Report</w:t>
      </w:r>
    </w:p>
    <w:p>
      <w:pPr>
        <w:pStyle w:val="CodeChangeLine"/>
        <w:shd w:val="clear" w:color="auto" w:fill="ecfdf0"/>
      </w:pPr>
      <w:r>
        <w:t>- &lt;a name="_ref_i.21"&gt;[i.21]&lt;/a&gt; ETSI TR 103 546 SmartM2M: Requirement &amp; Feasibility study for Smart Lifts in IoT</w:t>
      </w:r>
    </w:p>
    <w:p>
      <w:pPr>
        <w:pStyle w:val="CodeChangeLine"/>
        <w:shd w:val="clear" w:color="auto" w:fill="ecfdf0"/>
      </w:pPr>
      <w:r>
        <w:t>- &lt;a name="_ref_i.22"&gt;[i.22]&lt;/a&gt; ETSI TR 103 714 SmartM2M; Study for oneM2M Discovery and Query use cases and requirements</w:t>
      </w:r>
    </w:p>
    <w:p>
      <w:pPr>
        <w:pStyle w:val="CodeChangeLine"/>
        <w:shd w:val="clear" w:color="auto" w:fill="ecfdf0"/>
      </w:pPr>
      <w:r>
        <w:t>- &lt;a name="_ref_i.23"&gt;[i.23]&lt;/a&gt; Lixin Gao. On inferring autonomous system relationships in the internet. IEEE/ACM Trans. Netw. 9(6): 733-745, 2001 [https://dl.acm.org/doi/10.1109/90.974527](https://dl.acm.org/doi/10.1109/90.974527)</w:t>
      </w:r>
    </w:p>
    <w:p>
      <w:pPr>
        <w:pStyle w:val="CodeChangeLine"/>
        <w:shd w:val="clear" w:color="auto" w:fill="ecfdf0"/>
      </w:pPr>
      <w:r>
        <w:t>- &lt;a name="_ref_i.24"&gt;[i.24]&lt;/a&gt; Luigi Liquori, Rossano Gaeta, and Matteo Sereno. A Network Aware Resource Discovery Service. EPEW 2019 - 16th European Performance Engineering Workshop, Nov 2019, Milano, Italy, Volume 12039 of Lecture Notes in Computer Science, Springer Verlag, pages 84-99, 2019, [https://hal.inria.fr/hal-01895452](https://hal.inria.fr/hal-01895452)</w:t>
      </w:r>
    </w:p>
    <w:p>
      <w:pPr>
        <w:pStyle w:val="CodeChangeLine"/>
        <w:shd w:val="clear" w:color="auto" w:fill="ecfdf0"/>
      </w:pPr>
      <w:r>
        <w:t>- &lt;a name="_ref_i.25"&gt;[i.25]&lt;/a&gt; Raphael Chand and Michel Cosnard and Luigi Liquori. Powerful resource discovery for Arigatoni overlay network. Future Generation Computing System, volume 23, number 1, pages 31-38, 2008, [https://hal.inria.fr/hal-00909630](https://hal.inria.fr/hal-00909630)</w:t>
      </w:r>
    </w:p>
    <w:p>
      <w:pPr>
        <w:pStyle w:val="CodeChangeLine"/>
        <w:shd w:val="clear" w:color="auto" w:fill="ecfdf0"/>
      </w:pPr>
      <w:r>
        <w:t>- &lt;a name="_ref_i.26"&gt;[i.26]&lt;/a&gt; IETF RFC 4271: Border Gateway Protocol 4 (BGP4), 2006,, [https://tools.ietf.org/html/rfc4271](https://tools.ietf.org/html/rfc4271)</w:t>
      </w:r>
    </w:p>
    <w:p>
      <w:pPr>
        <w:pStyle w:val="CodeChangeLine"/>
        <w:shd w:val="clear" w:color="auto" w:fill="ecfdf0"/>
      </w:pPr>
      <w:r>
        <w:t>- &lt;a name="_ref_i.27"&gt;[i.27]&lt;/a&gt; oneM2M TS-0012 oneM2M Base Ontology</w:t>
      </w:r>
    </w:p>
    <w:p>
      <w:pPr>
        <w:pStyle w:val="CodeChangeLine"/>
        <w:shd w:val="clear" w:color="auto" w:fill="ecfdf0"/>
      </w:pPr>
      <w:r>
        <w:t>- &lt;a name="_ref_i.28"&gt;[i.28]&lt;/a&gt; oneM2M TR-0045 Developer Guide Implementing Semantics</w:t>
      </w:r>
    </w:p>
    <w:p>
      <w:pPr>
        <w:pStyle w:val="CodeChangeLine"/>
        <w:shd w:val="clear" w:color="auto" w:fill="ecfdf0"/>
      </w:pPr>
      <w:r>
        <w:t>- &lt;a name="_ref_i.29"&gt;[i.29]&lt;/a&gt; oneM2M TS-0001 Functional Architecture</w:t>
      </w:r>
    </w:p>
    <w:p>
      <w:pPr>
        <w:pStyle w:val="CodeChangeLine"/>
        <w:shd w:val="clear" w:color="auto" w:fill="ecfdf0"/>
      </w:pPr>
      <w:r>
        <w:t>- &lt;a name="_ref_i.30"&gt;[i.30]&lt;/a&gt; ETSI SR 003 680 SmartM2M; Guidelines for Security, Privacy and Interoperability in IoT System Definition; A Concrete Approach</w:t>
      </w:r>
    </w:p>
    <w:p>
      <w:pPr>
        <w:pStyle w:val="CodeChangeLine"/>
        <w:shd w:val="clear" w:color="auto" w:fill="ecfdf0"/>
      </w:pPr>
      <w:r>
        <w:t>- &lt;a name="_ref_i.31"&gt;[i.31]&lt;/a&gt; AIOTI Report: IoT Relation and Impact on 5G, Release 3.0, https://aioti.eu/wp-content/uploads/2020/05/AIOTI-IoT-relation-and-impact-on-5G-R3-Published.pdf</w:t>
      </w:r>
    </w:p>
    <w:p>
      <w:pPr>
        <w:pStyle w:val="CodeChangeLine"/>
        <w:shd w:val="clear" w:color="auto" w:fill="ecfdf0"/>
      </w:pPr>
      <w:r>
        <w:t>- &lt;a name="_ref_i.32"&gt;[i.32]&lt;/a&gt; oneM2M TS-0002 Requirements</w:t>
      </w:r>
    </w:p>
    <w:p>
      <w:pPr>
        <w:pStyle w:val="CodeChangeLine"/>
        <w:shd w:val="clear" w:color="auto" w:fill="ecfdf0"/>
      </w:pPr>
      <w:r>
        <w:t>- &lt;a name="_ref_i.33"&gt;[i.33]&lt;/a&gt; oneM2M TS-0034 Semantic Support</w:t>
      </w:r>
    </w:p>
    <w:p>
      <w:pPr>
        <w:pStyle w:val="CodeChangeLine"/>
      </w:pPr>
      <w:r/>
    </w:p>
    <w:p>
      <w:pPr>
        <w:pStyle w:val="CodeChangeLine"/>
      </w:pPr>
      <w:r/>
    </w:p>
    <w:p>
      <w:pPr>
        <w:pStyle w:val="CodeChangeLine"/>
      </w:pPr>
      <w:r>
        <w:t># 3 Definition of Terms and Abbreviations</w:t>
      </w:r>
    </w:p>
    <w:p>
      <w:pPr>
        <w:pStyle w:val="CodeHeader"/>
      </w:pPr>
      <w:r>
        <w:t>@@ -378,7 +378,6 @@ Interactions between actors and system required for successful execution of the</w:t>
      </w:r>
    </w:p>
    <w:p>
      <w:pPr>
        <w:pStyle w:val="CodeChangeLine"/>
      </w:pPr>
      <w:r/>
    </w:p>
    <w:p>
      <w:pPr>
        <w:pStyle w:val="CodeChangeLine"/>
      </w:pPr>
      <w:r>
        <w:t>**Figure 5.1.6-1 An example flow for the TSO scenario**</w:t>
      </w:r>
    </w:p>
    <w:p>
      <w:pPr>
        <w:pStyle w:val="CodeChangeLine"/>
      </w:pPr>
      <w:r/>
    </w:p>
    <w:p>
      <w:pPr>
        <w:pStyle w:val="CodeChangeLine"/>
        <w:shd w:val="clear" w:color="auto" w:fill="fbe9eb"/>
      </w:pPr>
      <w:r/>
    </w:p>
    <w:p>
      <w:pPr>
        <w:pStyle w:val="CodeChangeLine"/>
      </w:pPr>
      <w:r>
        <w:t>An example flow for the TSO scenario:</w:t>
      </w:r>
    </w:p>
    <w:p>
      <w:pPr>
        <w:pStyle w:val="CodeChangeLine"/>
      </w:pPr>
      <w:r/>
    </w:p>
    <w:p>
      <w:pPr>
        <w:pStyle w:val="CodeChangeLine"/>
      </w:pPr>
      <w:r>
        <w:t xml:space="preserve">1. WAMS application subscribes to PMU data which is owed by the Transmission System Operator </w:t>
      </w:r>
    </w:p>
    <w:p>
      <w:pPr>
        <w:pStyle w:val="CodeHeader"/>
      </w:pPr>
      <w:r>
        <w:t>@@ -426,7 +425,6 @@ Corrective or Restricted operation of power electrical network as a result of th</w:t>
      </w:r>
    </w:p>
    <w:p>
      <w:pPr>
        <w:pStyle w:val="CodeChangeLine"/>
      </w:pPr>
      <w:r/>
    </w:p>
    <w:p>
      <w:pPr>
        <w:pStyle w:val="CodeChangeLine"/>
      </w:pPr>
      <w:r>
        <w:t>Extracted from ETSI service requirements &lt;a href="#_ref_i.3"&gt;[i.3]&lt;/a&gt; (Ref TS102 689 V1.1.1) but suitable for this use case.</w:t>
      </w:r>
    </w:p>
    <w:p>
      <w:pPr>
        <w:pStyle w:val="CodeChangeLine"/>
      </w:pPr>
      <w:r/>
    </w:p>
    <w:p>
      <w:pPr>
        <w:pStyle w:val="CodeChangeLine"/>
        <w:shd w:val="clear" w:color="auto" w:fill="fbe9eb"/>
      </w:pPr>
      <w:r/>
    </w:p>
    <w:p>
      <w:pPr>
        <w:pStyle w:val="CodeChangeLine"/>
      </w:pPr>
      <w:r>
        <w:t xml:space="preserve">1. Data collection and reporting capability/function  </w:t>
      </w:r>
    </w:p>
    <w:p>
      <w:pPr>
        <w:pStyle w:val="CodeChangeLine"/>
      </w:pPr>
      <w:r>
        <w:tab/>
        <w:t>The M2M System (e.g. be owned by System Operator) shall support the reporting from a specific M2M Device (e.g. PMU) or group of M2M Devices or group of M2M collectors in the way requested by the M2M Application (e.g. WAM) as listed below:</w:t>
      </w:r>
    </w:p>
    <w:p>
      <w:pPr>
        <w:pStyle w:val="CodeChangeLine"/>
      </w:pPr>
      <w:r>
        <w:tab/>
        <w:t>- a. a periodic reporting with the time period being defined by the M2M application;</w:t>
      </w:r>
    </w:p>
    <w:p>
      <w:pPr>
        <w:pStyle w:val="CodeHeader"/>
      </w:pPr>
      <w:r>
        <w:t>@@ -483,7 +481,6 @@ The use case described below assumes:</w:t>
      </w:r>
    </w:p>
    <w:p>
      <w:pPr>
        <w:pStyle w:val="CodeChangeLine"/>
      </w:pPr>
      <w:r>
        <w:t>- millions of devices continuously report M2M data from devices at geographically diverse locations</w:t>
      </w:r>
    </w:p>
    <w:p>
      <w:pPr>
        <w:pStyle w:val="CodeChangeLine"/>
      </w:pPr>
      <w:r>
        <w:t xml:space="preserve">- the M2M application is interested in receiving only certain sets of data based upon changes in particular data elements. </w:t>
      </w:r>
    </w:p>
    <w:p>
      <w:pPr>
        <w:pStyle w:val="CodeChangeLine"/>
      </w:pPr>
      <w:r/>
    </w:p>
    <w:p>
      <w:pPr>
        <w:pStyle w:val="CodeChangeLine"/>
        <w:shd w:val="clear" w:color="auto" w:fill="fbe9eb"/>
      </w:pPr>
      <w:r/>
    </w:p>
    <w:p>
      <w:pPr>
        <w:pStyle w:val="CodeChangeLine"/>
      </w:pPr>
      <w:r>
        <w:t>Use of oneM2M computation and analytics for anomaly detection and filtering avoids the use of bandwidth needed to transport unnecessary device data to the back-end of the M2M application. To enable the oneM2M system to do this, the M2M application specifies:</w:t>
      </w:r>
    </w:p>
    <w:p>
      <w:pPr>
        <w:pStyle w:val="CodeChangeLine"/>
      </w:pPr>
      <w:r/>
    </w:p>
    <w:p>
      <w:pPr>
        <w:pStyle w:val="CodeChangeLine"/>
      </w:pPr>
      <w:r>
        <w:t>1. Which device data (the baseline set) is needed to create a baseline (which is indicative of "normal" operation).</w:t>
      </w:r>
    </w:p>
    <w:p>
      <w:pPr>
        <w:pStyle w:val="CodeHeader"/>
      </w:pPr>
      <w:r>
        <w:t>@@ -566,7 +563,7 @@ Other alternative actions may include, but are not limited to:</w:t>
      </w:r>
    </w:p>
    <w:p>
      <w:pPr>
        <w:pStyle w:val="CodeChangeLine"/>
      </w:pPr>
      <w:r/>
    </w:p>
    <w:p>
      <w:pPr>
        <w:pStyle w:val="CodeChangeLine"/>
      </w:pPr>
      <w:r>
        <w:t>### 5.2.8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5.2.9 High Level Illustration</w:t>
      </w:r>
    </w:p>
    <w:p>
      <w:pPr>
        <w:pStyle w:val="CodeHeader"/>
      </w:pPr>
      <w:r>
        <w:t>@@ -632,16 +629,14 @@ The M2M Applications and the M2M Service Provide may benefit from these services</w:t>
      </w:r>
    </w:p>
    <w:p>
      <w:pPr>
        <w:pStyle w:val="CodeChangeLine"/>
      </w:pPr>
      <w:r/>
    </w:p>
    <w:p>
      <w:pPr>
        <w:pStyle w:val="CodeChangeLine"/>
      </w:pPr>
      <w:r>
        <w:t>### 5.2.10 Potential requirements</w:t>
      </w:r>
    </w:p>
    <w:p>
      <w:pPr>
        <w:pStyle w:val="CodeChangeLine"/>
      </w:pPr>
      <w:r/>
    </w:p>
    <w:p>
      <w:pPr>
        <w:pStyle w:val="CodeChangeLine"/>
        <w:shd w:val="clear" w:color="auto" w:fill="fbe9eb"/>
      </w:pPr>
      <w:r>
        <w:t>&lt;mark&gt;Editor note: the note below in pos. 2 may not be a separate list item&lt;/mark&gt;</w:t>
      </w:r>
    </w:p>
    <w:p>
      <w:pPr>
        <w:pStyle w:val="CodeChangeLine"/>
        <w:shd w:val="clear" w:color="auto" w:fill="fbe9eb"/>
      </w:pPr>
      <w:r/>
    </w:p>
    <w:p>
      <w:pPr>
        <w:pStyle w:val="CodeChangeLine"/>
      </w:pPr>
      <w:r>
        <w:t>1. The oneM2M system should be able to accept standardized inputs from M2M application providers which request compute/analytics services.</w:t>
      </w:r>
    </w:p>
    <w:p>
      <w:pPr>
        <w:pStyle w:val="CodeChangeLine"/>
        <w:shd w:val="clear" w:color="auto" w:fill="fbe9eb"/>
      </w:pPr>
      <w:r>
        <w:t>2. Note: Many Analytics APIs exist today, the most popular one being Google analytics service</w:t>
      </w:r>
    </w:p>
    <w:p>
      <w:pPr>
        <w:pStyle w:val="CodeChangeLine"/>
        <w:shd w:val="clear" w:color="auto" w:fill="fbe9eb"/>
      </w:pPr>
      <w:r>
        <w:t>3. The oneM2M system should be able to select analytics libraries from Analytics library providers.</w:t>
      </w:r>
    </w:p>
    <w:p>
      <w:pPr>
        <w:pStyle w:val="CodeChangeLine"/>
        <w:shd w:val="clear" w:color="auto" w:fill="fbe9eb"/>
      </w:pPr>
      <w:r>
        <w:t>4. The oneM2M system should be able to locate and run instances of compute/analytics programs and libraries at locations requested by M2M applications service providers.</w:t>
      </w:r>
    </w:p>
    <w:p>
      <w:pPr>
        <w:pStyle w:val="CodeChangeLine"/>
        <w:shd w:val="clear" w:color="auto" w:fill="fbe9eb"/>
      </w:pPr>
      <w:r>
        <w:t>5. The oneM2M system should be able to manage the lifecycle of instances of compute/analytics programs and libraries.</w:t>
      </w:r>
    </w:p>
    <w:p>
      <w:pPr>
        <w:pStyle w:val="CodeChangeLine"/>
        <w:shd w:val="clear" w:color="auto" w:fill="fbe9eb"/>
      </w:pPr>
      <w:r>
        <w:t>6. The oneM2M system should be able to steer device data to inputs of instances of compute/analytics programs</w:t>
      </w:r>
    </w:p>
    <w:p>
      <w:pPr>
        <w:pStyle w:val="CodeChangeLine"/>
        <w:shd w:val="clear" w:color="auto" w:fill="fbe9eb"/>
      </w:pPr>
      <w:r>
        <w:t>7. The oneM2M system should be able to take operational and management action as a result of analytics reports received.</w:t>
      </w:r>
    </w:p>
    <w:p>
      <w:pPr>
        <w:pStyle w:val="CodeChangeLine"/>
        <w:shd w:val="clear" w:color="auto" w:fill="fbe9eb"/>
      </w:pPr>
      <w:r>
        <w:t>8. The oneM2M system should specify supported compute/analytics triggers and actions.</w:t>
      </w:r>
    </w:p>
    <w:p>
      <w:pPr>
        <w:pStyle w:val="CodeChangeLine"/>
        <w:shd w:val="clear" w:color="auto" w:fill="ecfdf0"/>
      </w:pPr>
      <w:r>
        <w:tab/>
        <w:t>&gt; Note: Many Analytics APIs exist today, the most popular one being Google analytics service</w:t>
      </w:r>
    </w:p>
    <w:p>
      <w:pPr>
        <w:pStyle w:val="CodeChangeLine"/>
        <w:shd w:val="clear" w:color="auto" w:fill="ecfdf0"/>
      </w:pPr>
      <w:r>
        <w:t>2. The oneM2M system should be able to select analytics libraries from Analytics library providers.</w:t>
      </w:r>
    </w:p>
    <w:p>
      <w:pPr>
        <w:pStyle w:val="CodeChangeLine"/>
        <w:shd w:val="clear" w:color="auto" w:fill="ecfdf0"/>
      </w:pPr>
      <w:r>
        <w:t>3. The oneM2M system should be able to locate and run instances of compute/analytics programs and libraries at locations requested by M2M applications service providers.</w:t>
      </w:r>
    </w:p>
    <w:p>
      <w:pPr>
        <w:pStyle w:val="CodeChangeLine"/>
        <w:shd w:val="clear" w:color="auto" w:fill="ecfdf0"/>
      </w:pPr>
      <w:r>
        <w:t>4. The oneM2M system should be able to manage the lifecycle of instances of compute/analytics programs and libraries.</w:t>
      </w:r>
    </w:p>
    <w:p>
      <w:pPr>
        <w:pStyle w:val="CodeChangeLine"/>
        <w:shd w:val="clear" w:color="auto" w:fill="ecfdf0"/>
      </w:pPr>
      <w:r>
        <w:t>5. The oneM2M system should be able to steer device data to inputs of instances of compute/analytics programs</w:t>
      </w:r>
    </w:p>
    <w:p>
      <w:pPr>
        <w:pStyle w:val="CodeChangeLine"/>
        <w:shd w:val="clear" w:color="auto" w:fill="ecfdf0"/>
      </w:pPr>
      <w:r>
        <w:t>6. The oneM2M system should be able to take operational and management action as a result of analytics reports received.</w:t>
      </w:r>
    </w:p>
    <w:p>
      <w:pPr>
        <w:pStyle w:val="CodeChangeLine"/>
        <w:shd w:val="clear" w:color="auto" w:fill="ecfdf0"/>
      </w:pPr>
      <w:r>
        <w:t>7. The oneM2M system should specify supported compute/analytics triggers and actions.</w:t>
      </w:r>
    </w:p>
    <w:p>
      <w:pPr>
        <w:pStyle w:val="CodeChangeLine"/>
      </w:pPr>
      <w:r/>
    </w:p>
    <w:p>
      <w:pPr>
        <w:pStyle w:val="CodeChangeLine"/>
      </w:pPr>
      <w:r/>
    </w:p>
    <w:p>
      <w:pPr>
        <w:pStyle w:val="CodeChangeLine"/>
      </w:pPr>
      <w:r>
        <w:t>## 5.3 Smart Meter Reading</w:t>
      </w:r>
    </w:p>
    <w:p>
      <w:pPr>
        <w:pStyle w:val="CodeHeader"/>
      </w:pPr>
      <w:r>
        <w:t>@@ -683,13 +678,9 @@ Smart meter on-demand or bulk interval meter read request events</w:t>
      </w:r>
    </w:p>
    <w:p>
      <w:pPr>
        <w:pStyle w:val="CodeChangeLine"/>
      </w:pPr>
      <w:r/>
    </w:p>
    <w:p>
      <w:pPr>
        <w:pStyle w:val="CodeChangeLine"/>
      </w:pPr>
      <w:r>
        <w:t xml:space="preserve">Smart Grid Interoperability Panel (SGIP) (http://www.sgip.org) and OpenSG users group (http://osgug.ucaiug.org/default.aspx) have been leading this effort in North America. An informative document has been submitted to OneM2M based on the SGIP activity. In general, a number of external organizations such as the SGIP or the SGCG (Smart Grid Coordination Group) in Europe have been working to define use cases for Smart Grid (SG). Portals such as the Smart Grid Information Clearing House (http://www.sgiclearinghouse.org) to assist with distributing information about smart grid initiatives in the US. The use-cases presented are derived in part from the above publicly available information. </w:t>
      </w:r>
    </w:p>
    <w:p>
      <w:pPr>
        <w:pStyle w:val="CodeChangeLine"/>
      </w:pPr>
      <w:r/>
    </w:p>
    <w:p>
      <w:pPr>
        <w:pStyle w:val="CodeChangeLine"/>
        <w:shd w:val="clear" w:color="auto" w:fill="fbe9eb"/>
      </w:pPr>
      <w:r>
        <w:t>&lt;mark&gt;Editor note: figure reference is wrong&lt;/mark&gt;</w:t>
      </w:r>
    </w:p>
    <w:p>
      <w:pPr>
        <w:pStyle w:val="CodeChangeLine"/>
        <w:shd w:val="clear" w:color="auto" w:fill="fbe9eb"/>
      </w:pPr>
      <w:r/>
    </w:p>
    <w:p>
      <w:pPr>
        <w:pStyle w:val="CodeChangeLine"/>
        <w:shd w:val="clear" w:color="auto" w:fill="fbe9eb"/>
      </w:pPr>
      <w:r>
        <w:t>Figure 5-6 shows the conceptual actors/data flow diagram based on a more detailed diagram developed by SG-Net. The more detailed diagram developed by SG-Net can be seen in the associated submission related to SGIP-based Smart Grid Use Cases.</w:t>
      </w:r>
    </w:p>
    <w:p>
      <w:pPr>
        <w:pStyle w:val="CodeChangeLine"/>
        <w:shd w:val="clear" w:color="auto" w:fill="ecfdf0"/>
      </w:pPr>
      <w:r>
        <w:t>Figure 5.3.6-1 shows the conceptual actors/data flow diagram based on a more detailed diagram developed by SG-Net. The more detailed diagram developed by SG-Net can be seen in the associated submission related to SGIP-based Smart Grid Use Cases.</w:t>
      </w:r>
    </w:p>
    <w:p>
      <w:pPr>
        <w:pStyle w:val="CodeChangeLine"/>
      </w:pPr>
      <w:r/>
    </w:p>
    <w:p>
      <w:pPr>
        <w:pStyle w:val="CodeChangeLine"/>
        <w:shd w:val="clear" w:color="auto" w:fill="fbe9eb"/>
      </w:pPr>
      <w:r>
        <w:t>&lt;mark&gt;Editor note: figure reference is wrong&lt;/mark&gt;</w:t>
      </w:r>
    </w:p>
    <w:p>
      <w:pPr>
        <w:pStyle w:val="CodeChangeLine"/>
        <w:shd w:val="clear" w:color="auto" w:fill="fbe9eb"/>
      </w:pPr>
      <w:r/>
    </w:p>
    <w:p>
      <w:pPr>
        <w:pStyle w:val="CodeChangeLine"/>
        <w:shd w:val="clear" w:color="auto" w:fill="fbe9eb"/>
      </w:pPr>
      <w:r>
        <w:t>In Figure 5-7 each element is an "actor" that is communicating with another actor using the shown data flows. As an example, consider "Smart Meter" in the "Customer" quadrant (lower right). Smart Meter (SM) communicates with a number of other actors, such as a Data Aggregation Point (DAP) located in the AMI Network. The DAP can then transmit the aggregated data to the Utility Service Provider using the Wide Area Network. The meter reading information can reach the data centre for the Utility Service Provider via the AMI Headend which can forward the information to the MDMS which can coordinate with the CIS to store/retrieve meter data and to determine customer billing information. In certain variations such as cellular-based smart metering systems, a DAP entity may be bypassed, or merely serve as a pass-through for the information flow between the utility data centre and the smart meter.</w:t>
      </w:r>
    </w:p>
    <w:p>
      <w:pPr>
        <w:pStyle w:val="CodeChangeLine"/>
        <w:shd w:val="clear" w:color="auto" w:fill="ecfdf0"/>
      </w:pPr>
      <w:r>
        <w:t>In Figure 5.3.6-2 each element is an "actor" that is communicating with another actor using the shown data flows. As an example, consider "Smart Meter" in the "Customer" quadrant (lower right). Smart Meter (SM) communicates with a number of other actors, such as a Data Aggregation Point (DAP) located in the AMI Network. The DAP can then transmit the aggregated data to the Utility Service Provider using the Wide Area Network. The meter reading information can reach the data centre for the Utility Service Provider via the AMI Headend which can forward the information to the MDMS which can coordinate with the CIS to store/retrieve meter data and to determine customer billing information. In certain variations such as cellular-based smart metering systems, a DAP entity may be bypassed, or merely serve as a pass-through for the information flow between the utility data centre and the smart meter.</w:t>
      </w:r>
    </w:p>
    <w:p>
      <w:pPr>
        <w:pStyle w:val="CodeChangeLine"/>
      </w:pPr>
      <w:r/>
    </w:p>
    <w:p>
      <w:pPr>
        <w:pStyle w:val="CodeChangeLine"/>
      </w:pPr>
      <w:r/>
    </w:p>
    <w:p>
      <w:pPr>
        <w:pStyle w:val="CodeChangeLine"/>
      </w:pPr>
      <w:r/>
    </w:p>
    <w:p>
      <w:pPr>
        <w:pStyle w:val="CodeHeader"/>
      </w:pPr>
      <w:r>
        <w:t>@@ -697,7 +688,6 @@ In Figure 5-7 each element is an "actor" that is communicating with another acto</w:t>
      </w:r>
    </w:p>
    <w:p>
      <w:pPr>
        <w:pStyle w:val="CodeChangeLine"/>
      </w:pPr>
      <w:r/>
    </w:p>
    <w:p>
      <w:pPr>
        <w:pStyle w:val="CodeChangeLine"/>
      </w:pPr>
      <w:r>
        <w:t xml:space="preserve">**Figure 5.3.6-1 Conceptual Actors/Data Flow Diagram** </w:t>
      </w:r>
    </w:p>
    <w:p>
      <w:pPr>
        <w:pStyle w:val="CodeChangeLine"/>
      </w:pPr>
      <w:r/>
    </w:p>
    <w:p>
      <w:pPr>
        <w:pStyle w:val="CodeChangeLine"/>
        <w:shd w:val="clear" w:color="auto" w:fill="fbe9eb"/>
      </w:pPr>
      <w:r/>
    </w:p>
    <w:p>
      <w:pPr>
        <w:pStyle w:val="CodeChangeLine"/>
      </w:pPr>
      <w:r>
        <w:t>![Figure 5.3.6-2 Typical Smart Meter Reading Flows A (on left) and B (on right)](media/5_3_6_2.png)</w:t>
      </w:r>
    </w:p>
    <w:p>
      <w:pPr>
        <w:pStyle w:val="CodeChangeLine"/>
      </w:pPr>
      <w:r/>
    </w:p>
    <w:p>
      <w:pPr>
        <w:pStyle w:val="CodeChangeLine"/>
      </w:pPr>
      <w:r>
        <w:t xml:space="preserve">**Figure 5.3.6-2 Typical Smart Meter Reading Flows A (on left) and B (on right)** </w:t>
      </w:r>
    </w:p>
    <w:p>
      <w:pPr>
        <w:pStyle w:val="CodeHeader"/>
      </w:pPr>
      <w:r>
        <w:t>@@ -723,7 +713,7 @@ None</w:t>
      </w:r>
    </w:p>
    <w:p>
      <w:pPr>
        <w:pStyle w:val="CodeChangeLine"/>
      </w:pPr>
      <w:r/>
    </w:p>
    <w:p>
      <w:pPr>
        <w:pStyle w:val="CodeChangeLine"/>
      </w:pPr>
      <w:r>
        <w:t>### 5.3.8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5.3.9 High Level Illustration</w:t>
      </w:r>
    </w:p>
    <w:p>
      <w:pPr>
        <w:pStyle w:val="CodeHeader"/>
      </w:pPr>
      <w:r>
        <w:t>@@ -809,7 +799,7 @@ None</w:t>
      </w:r>
    </w:p>
    <w:p>
      <w:pPr>
        <w:pStyle w:val="CodeChangeLine"/>
      </w:pPr>
      <w:r/>
    </w:p>
    <w:p>
      <w:pPr>
        <w:pStyle w:val="CodeChangeLine"/>
      </w:pPr>
      <w:r>
        <w:t>### 5.4.8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5.4.9 High Level Illustration</w:t>
      </w:r>
    </w:p>
    <w:p>
      <w:pPr>
        <w:pStyle w:val="CodeHeader"/>
      </w:pPr>
      <w:r>
        <w:t>@@ -1017,9 +1007,7 @@ None</w:t>
      </w:r>
    </w:p>
    <w:p>
      <w:pPr>
        <w:pStyle w:val="CodeChangeLine"/>
      </w:pPr>
      <w:r/>
    </w:p>
    <w:p>
      <w:pPr>
        <w:pStyle w:val="CodeChangeLine"/>
      </w:pPr>
      <w:r>
        <w:t>The light control of the building</w:t>
      </w:r>
    </w:p>
    <w:p>
      <w:pPr>
        <w:pStyle w:val="CodeChangeLine"/>
      </w:pPr>
      <w:r/>
    </w:p>
    <w:p>
      <w:pPr>
        <w:pStyle w:val="CodeChangeLine"/>
        <w:shd w:val="clear" w:color="auto" w:fill="fbe9eb"/>
      </w:pPr>
      <w:r>
        <w:t>&lt;mark&gt;Editor note: Figure reference is wrong&lt;/mark&gt;</w:t>
      </w:r>
    </w:p>
    <w:p>
      <w:pPr>
        <w:pStyle w:val="CodeChangeLine"/>
        <w:shd w:val="clear" w:color="auto" w:fill="fbe9eb"/>
      </w:pPr>
      <w:r/>
    </w:p>
    <w:p>
      <w:pPr>
        <w:pStyle w:val="CodeChangeLine"/>
        <w:shd w:val="clear" w:color="auto" w:fill="fbe9eb"/>
      </w:pPr>
      <w:r>
        <w:t>The Control Centre needs to control the light in the building by different areas and different floors. The Control Centre also needs to switch on and off all the light in the building. For the management of the lights, the Smart Building Service Provider deployed one gateway in each floor to get connection with the lights in the same floor. Each floor of the building has at least 100 lights and the building has 50 floors above the ground and 5 floors under the ground and each light can be switched separately. The lights in every floor is connected with the gateway using local WIFI network, the gateway is connected with the M2M platform using paid 3GPP network, the Control Centre is connect with the M2M platform using fixed network. A patrolling worker with a mobile device can access to the gateway's local network to switch the lights. The illustration can be seen in figure 6.1</w:t>
      </w:r>
    </w:p>
    <w:p>
      <w:pPr>
        <w:pStyle w:val="CodeChangeLine"/>
        <w:shd w:val="clear" w:color="auto" w:fill="ecfdf0"/>
      </w:pPr>
      <w:r>
        <w:t>The Control Centre needs to control the light in the building by different areas and different floors. The Control Centre also needs to switch on and off all the light in the building. For the management of the lights, the Smart Building Service Provider deployed one gateway in each floor to get connection with the lights in the same floor. Each floor of the building has at least 100 lights and the building has 50 floors above the ground and 5 floors under the ground and each light can be switched separately. The lights in every floor is connected with the gateway using local WIFI network, the gateway is connected with the M2M platform using paid 3GPP network, the Control Centre is connect with the M2M platform using fixed network. A patrolling worker with a mobile device can access to the gateway's local network to switch the lights. The illustration can be seen in figure 6.1.9-1 .</w:t>
      </w:r>
    </w:p>
    <w:p>
      <w:pPr>
        <w:pStyle w:val="CodeChangeLine"/>
      </w:pPr>
      <w:r/>
    </w:p>
    <w:p>
      <w:pPr>
        <w:pStyle w:val="CodeChangeLine"/>
      </w:pPr>
      <w:r>
        <w:t>In order to switch the light from the whole floor, instead of sending request from the Control Centre 100 times, the Control Centre creates a group on the gateway of each floor to include all the light on that floor. As a result, the Control Centre could switch the light of a whole floor just by sending one request to the group created on the gateway, the gateway fans out the request to each light to switch them off.</w:t>
      </w:r>
    </w:p>
    <w:p>
      <w:pPr>
        <w:pStyle w:val="CodeChangeLine"/>
      </w:pPr>
      <w:r/>
    </w:p>
    <w:p>
      <w:pPr>
        <w:pStyle w:val="CodeHeader"/>
      </w:pPr>
      <w:r>
        <w:t>@@ -1055,7 +1043,7 @@ None</w:t>
      </w:r>
    </w:p>
    <w:p>
      <w:pPr>
        <w:pStyle w:val="CodeChangeLine"/>
      </w:pPr>
      <w:r/>
    </w:p>
    <w:p>
      <w:pPr>
        <w:pStyle w:val="CodeChangeLine"/>
      </w:pPr>
      <w:r>
        <w:t>### 6.1.8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6.1.9 High Level Illustration</w:t>
      </w:r>
    </w:p>
    <w:p>
      <w:pPr>
        <w:pStyle w:val="CodeHeader"/>
      </w:pPr>
      <w:r>
        <w:t>@@ -1123,7 +1111,7 @@ None</w:t>
      </w:r>
    </w:p>
    <w:p>
      <w:pPr>
        <w:pStyle w:val="CodeChangeLine"/>
      </w:pPr>
      <w:r/>
    </w:p>
    <w:p>
      <w:pPr>
        <w:pStyle w:val="CodeChangeLine"/>
      </w:pPr>
      <w:r>
        <w:t>### 6.2.8 Post-conditions</w:t>
      </w:r>
    </w:p>
    <w:p>
      <w:pPr>
        <w:pStyle w:val="CodeChangeLine"/>
      </w:pPr>
      <w:r/>
    </w:p>
    <w:p>
      <w:pPr>
        <w:pStyle w:val="CodeChangeLine"/>
        <w:shd w:val="clear" w:color="auto" w:fill="fbe9eb"/>
      </w:pPr>
      <w:r>
        <w:t>Not applicable</w:t>
      </w:r>
    </w:p>
    <w:p>
      <w:pPr>
        <w:pStyle w:val="CodeChangeLine"/>
        <w:shd w:val="clear" w:color="auto" w:fill="ecfdf0"/>
      </w:pPr>
      <w:r>
        <w:t>Mone</w:t>
      </w:r>
    </w:p>
    <w:p>
      <w:pPr>
        <w:pStyle w:val="CodeChangeLine"/>
      </w:pPr>
      <w:r/>
    </w:p>
    <w:p>
      <w:pPr>
        <w:pStyle w:val="CodeChangeLine"/>
      </w:pPr>
      <w:r/>
    </w:p>
    <w:p>
      <w:pPr>
        <w:pStyle w:val="CodeChangeLine"/>
      </w:pPr>
      <w:r>
        <w:t>### 6.2.9 High Level Illustration</w:t>
      </w:r>
    </w:p>
    <w:p>
      <w:pPr>
        <w:pStyle w:val="CodeHeader"/>
      </w:pPr>
      <w:r>
        <w:t>@@ -1233,21 +1221,18 @@ None</w:t>
      </w:r>
    </w:p>
    <w:p>
      <w:pPr>
        <w:pStyle w:val="CodeChangeLine"/>
      </w:pPr>
      <w:r/>
    </w:p>
    <w:p>
      <w:pPr>
        <w:pStyle w:val="CodeChangeLine"/>
      </w:pPr>
      <w:r>
        <w:t>### 6.3.10 Potential Requirements</w:t>
      </w:r>
    </w:p>
    <w:p>
      <w:pPr>
        <w:pStyle w:val="CodeChangeLine"/>
      </w:pPr>
      <w:r/>
    </w:p>
    <w:p>
      <w:pPr>
        <w:pStyle w:val="CodeChangeLine"/>
        <w:shd w:val="clear" w:color="auto" w:fill="fbe9eb"/>
      </w:pPr>
      <w:r>
        <w:t>&lt;mark&gt;Editor note: Shouldn't this be marked as a note?&lt;/mark&gt;</w:t>
      </w:r>
    </w:p>
    <w:p>
      <w:pPr>
        <w:pStyle w:val="CodeChangeLine"/>
        <w:shd w:val="clear" w:color="auto" w:fill="ecfdf0"/>
      </w:pPr>
      <w:r>
        <w:t xml:space="preserve">&gt; Note: This use case scenario can be partially fulfilled by the existing requirement as below. </w:t>
      </w:r>
    </w:p>
    <w:p>
      <w:pPr>
        <w:pStyle w:val="CodeChangeLine"/>
      </w:pPr>
      <w:r/>
    </w:p>
    <w:p>
      <w:pPr>
        <w:pStyle w:val="CodeChangeLine"/>
        <w:shd w:val="clear" w:color="auto" w:fill="fbe9eb"/>
      </w:pPr>
      <w:r>
        <w:t xml:space="preserve">&gt; This use case scenario can be partially fulfilled by the existing requirement as below. </w:t>
      </w:r>
    </w:p>
    <w:p>
      <w:pPr>
        <w:pStyle w:val="CodeChangeLine"/>
      </w:pPr>
      <w:r/>
    </w:p>
    <w:p>
      <w:pPr>
        <w:pStyle w:val="CodeChangeLine"/>
        <w:shd w:val="clear" w:color="auto" w:fill="fbe9eb"/>
      </w:pPr>
      <w:r>
        <w:t>&lt;mark&gt;Editor note: assign correct table number&lt;/mark&gt;</w:t>
      </w:r>
    </w:p>
    <w:p>
      <w:pPr>
        <w:pStyle w:val="CodeChangeLine"/>
        <w:shd w:val="clear" w:color="auto" w:fill="fbe9eb"/>
      </w:pPr>
      <w:r/>
    </w:p>
    <w:p>
      <w:pPr>
        <w:pStyle w:val="CodeChangeLine"/>
        <w:shd w:val="clear" w:color="auto" w:fill="fbe9eb"/>
      </w:pPr>
      <w:r>
        <w:t>**Table 6.x.10-1 Related exiting requirements**</w:t>
      </w:r>
    </w:p>
    <w:p>
      <w:pPr>
        <w:pStyle w:val="CodeChangeLine"/>
        <w:shd w:val="clear" w:color="auto" w:fill="ecfdf0"/>
      </w:pPr>
      <w:r>
        <w:t>**Table 6.3.10-1 Related exiting requirements**</w:t>
      </w:r>
    </w:p>
    <w:p>
      <w:pPr>
        <w:pStyle w:val="CodeChangeLine"/>
      </w:pPr>
      <w:r/>
    </w:p>
    <w:p>
      <w:pPr>
        <w:pStyle w:val="CodeChangeLine"/>
      </w:pPr>
      <w:r>
        <w:t>|Requirement ID |Description |Release |</w:t>
      </w:r>
    </w:p>
    <w:p>
      <w:pPr>
        <w:pStyle w:val="CodeChangeLine"/>
      </w:pPr>
      <w:r>
        <w:t>|-|-|-|</w:t>
      </w:r>
    </w:p>
    <w:p>
      <w:pPr>
        <w:pStyle w:val="CodeChangeLine"/>
      </w:pPr>
      <w:r>
        <w:t>|OSR-034 |The oneM2M System shall support seamless replacement of M2M Devices as well as M2M Gateways (e.g. redirecting traffic, connection, recovery, etc.). |Not implemented |</w:t>
      </w:r>
    </w:p>
    <w:p>
      <w:pPr>
        <w:pStyle w:val="CodeChangeLine"/>
      </w:pPr>
      <w:r/>
    </w:p>
    <w:p>
      <w:pPr>
        <w:pStyle w:val="CodeChangeLine"/>
        <w:shd w:val="clear" w:color="auto" w:fill="fbe9eb"/>
      </w:pPr>
      <w:r>
        <w:t>&lt;mark&gt;Editor note: assign correct table number&lt;/mark&gt;</w:t>
      </w:r>
    </w:p>
    <w:p>
      <w:pPr>
        <w:pStyle w:val="CodeChangeLine"/>
        <w:shd w:val="clear" w:color="auto" w:fill="ecfdf0"/>
      </w:pPr>
      <w:r>
        <w:t>Additionally a new requirement is needed.</w:t>
      </w:r>
    </w:p>
    <w:p>
      <w:pPr>
        <w:pStyle w:val="CodeChangeLine"/>
      </w:pPr>
      <w:r/>
    </w:p>
    <w:p>
      <w:pPr>
        <w:pStyle w:val="CodeChangeLine"/>
        <w:shd w:val="clear" w:color="auto" w:fill="fbe9eb"/>
      </w:pPr>
      <w:r>
        <w:t>**Additionally a new requirement is needed.Table 6.x.10-2 New potential requirement**</w:t>
      </w:r>
    </w:p>
    <w:p>
      <w:pPr>
        <w:pStyle w:val="CodeChangeLine"/>
        <w:shd w:val="clear" w:color="auto" w:fill="ecfdf0"/>
      </w:pPr>
      <w:r>
        <w:t>**Table 6.3.10-2 New potential requirement**</w:t>
      </w:r>
    </w:p>
    <w:p>
      <w:pPr>
        <w:pStyle w:val="CodeChangeLine"/>
      </w:pPr>
      <w:r/>
    </w:p>
    <w:p>
      <w:pPr>
        <w:pStyle w:val="CodeChangeLine"/>
      </w:pPr>
      <w:r>
        <w:t>|Requirement ID |Description |Release |</w:t>
      </w:r>
    </w:p>
    <w:p>
      <w:pPr>
        <w:pStyle w:val="CodeChangeLine"/>
      </w:pPr>
      <w:r>
        <w:t>|-|-|-|</w:t>
      </w:r>
    </w:p>
    <w:p>
      <w:pPr>
        <w:pStyle w:val="CodeHeader"/>
      </w:pPr>
      <w:r>
        <w:t>@@ -1290,11 +1275,9 @@ RDM-2022-0005-Use\_case\_on\_IoT\_device\_calibration</w:t>
      </w:r>
    </w:p>
    <w:p>
      <w:pPr>
        <w:pStyle w:val="CodeChangeLine"/>
      </w:pPr>
      <w:r/>
    </w:p>
    <w:p>
      <w:pPr>
        <w:pStyle w:val="CodeChangeLine"/>
      </w:pPr>
      <w:r>
        <w:t xml:space="preserve">- If the IoT platform is configured to support IoT device calibration, a new measurement from an IoT sensor that needs calibration triggers the process for IoT device calibration.  </w:t>
      </w:r>
    </w:p>
    <w:p>
      <w:pPr>
        <w:pStyle w:val="CodeChangeLine"/>
      </w:pPr>
      <w:r/>
    </w:p>
    <w:p>
      <w:pPr>
        <w:pStyle w:val="CodeChangeLine"/>
        <w:shd w:val="clear" w:color="auto" w:fill="fbe9eb"/>
      </w:pPr>
      <w:r>
        <w:t>### 6.5.6 Normal Flow</w:t>
      </w:r>
    </w:p>
    <w:p>
      <w:pPr>
        <w:pStyle w:val="CodeChangeLine"/>
        <w:shd w:val="clear" w:color="auto" w:fill="fbe9eb"/>
      </w:pPr>
      <w:r/>
    </w:p>
    <w:p>
      <w:pPr>
        <w:pStyle w:val="CodeChangeLine"/>
        <w:shd w:val="clear" w:color="auto" w:fill="fbe9eb"/>
      </w:pPr>
      <w:r>
        <w:t>&lt;mark&gt;Editor note: assign correct figure number&lt;/mark&gt;</w:t>
      </w:r>
    </w:p>
    <w:p>
      <w:pPr>
        <w:pStyle w:val="CodeChangeLine"/>
        <w:shd w:val="clear" w:color="auto" w:fill="ecfdf0"/>
      </w:pPr>
      <w:r>
        <w:t>### 6.4.6 Normal Flow</w:t>
      </w:r>
    </w:p>
    <w:p>
      <w:pPr>
        <w:pStyle w:val="CodeChangeLine"/>
      </w:pPr>
      <w:r/>
    </w:p>
    <w:p>
      <w:pPr>
        <w:pStyle w:val="CodeChangeLine"/>
        <w:shd w:val="clear" w:color="auto" w:fill="fbe9eb"/>
      </w:pPr>
      <w:r>
        <w:t>Figure 6.x.6-1 illustrates the high-level flows of the IoT sensor calibration use case, which consists of the following steps:</w:t>
      </w:r>
    </w:p>
    <w:p>
      <w:pPr>
        <w:pStyle w:val="CodeChangeLine"/>
        <w:shd w:val="clear" w:color="auto" w:fill="ecfdf0"/>
      </w:pPr>
      <w:r>
        <w:t>Figure 6.4.6-1 illustrates the high-level flows of the IoT sensor calibration use case, which consists of the following steps:</w:t>
      </w:r>
    </w:p>
    <w:p>
      <w:pPr>
        <w:pStyle w:val="CodeChangeLine"/>
      </w:pPr>
      <w:r/>
    </w:p>
    <w:p>
      <w:pPr>
        <w:pStyle w:val="CodeChangeLine"/>
      </w:pPr>
      <w:r>
        <w:t xml:space="preserve">- Step 1: The calibration application retrieve calibration parameters for the type of Sensor-1 from the IoT platform. </w:t>
      </w:r>
    </w:p>
    <w:p>
      <w:pPr>
        <w:pStyle w:val="CodeChangeLine"/>
      </w:pPr>
      <w:r>
        <w:t xml:space="preserve">- Step 2: The calibration application calibrates Sensor-1 using the retrieved parameters and generates calibration results. </w:t>
      </w:r>
    </w:p>
    <w:p>
      <w:pPr>
        <w:pStyle w:val="CodeHeader"/>
      </w:pPr>
      <w:r>
        <w:t>@@ -1304,23 +1287,22 @@ Figure 6.x.6-1 illustrates the high-level flows of the IoT sensor calibration us</w:t>
      </w:r>
    </w:p>
    <w:p>
      <w:pPr>
        <w:pStyle w:val="CodeChangeLine"/>
      </w:pPr>
      <w:r>
        <w:t xml:space="preserve">- Step 6: Sensor-1 sends a request to store its new measurement to the IoT platform. </w:t>
      </w:r>
    </w:p>
    <w:p>
      <w:pPr>
        <w:pStyle w:val="CodeChangeLine"/>
      </w:pPr>
      <w:r>
        <w:t xml:space="preserve">- Step 7: The IoT platform adjusts the measurement based on the calibration results and stores adjusted value. </w:t>
      </w:r>
    </w:p>
    <w:p>
      <w:pPr>
        <w:pStyle w:val="CodeChangeLine"/>
      </w:pPr>
      <w:r/>
    </w:p>
    <w:p>
      <w:pPr>
        <w:pStyle w:val="CodeChangeLine"/>
        <w:shd w:val="clear" w:color="auto" w:fill="fbe9eb"/>
      </w:pPr>
      <w:r/>
    </w:p>
    <w:p>
      <w:pPr>
        <w:pStyle w:val="CodeChangeLine"/>
      </w:pPr>
      <w:r>
        <w:t>![Figure 6.4.6-1 A flow for calibrating IoT devices in the server IoT platform](media/6_4_6_1.png)</w:t>
      </w:r>
    </w:p>
    <w:p>
      <w:pPr>
        <w:pStyle w:val="CodeChangeLine"/>
      </w:pPr>
      <w:r/>
    </w:p>
    <w:p>
      <w:pPr>
        <w:pStyle w:val="CodeChangeLine"/>
      </w:pPr>
      <w:r>
        <w:t>**Figure 6.4.6-1 A flow for calibrating IoT devices in the server IoT platform**</w:t>
      </w:r>
    </w:p>
    <w:p>
      <w:pPr>
        <w:pStyle w:val="CodeChangeLine"/>
      </w:pPr>
      <w:r/>
    </w:p>
    <w:p>
      <w:pPr>
        <w:pStyle w:val="CodeChangeLine"/>
      </w:pPr>
      <w:r/>
    </w:p>
    <w:p>
      <w:pPr>
        <w:pStyle w:val="CodeChangeLine"/>
        <w:shd w:val="clear" w:color="auto" w:fill="fbe9eb"/>
      </w:pPr>
      <w:r>
        <w:t>### 7.4.7 Alternative Flow</w:t>
      </w:r>
    </w:p>
    <w:p>
      <w:pPr>
        <w:pStyle w:val="CodeChangeLine"/>
        <w:shd w:val="clear" w:color="auto" w:fill="ecfdf0"/>
      </w:pPr>
      <w:r>
        <w:t>### 6.4.7 Alternative Flow</w:t>
      </w:r>
    </w:p>
    <w:p>
      <w:pPr>
        <w:pStyle w:val="CodeChangeLine"/>
      </w:pPr>
      <w:r/>
    </w:p>
    <w:p>
      <w:pPr>
        <w:pStyle w:val="CodeChangeLine"/>
      </w:pPr>
      <w:r>
        <w:t>None</w:t>
      </w:r>
    </w:p>
    <w:p>
      <w:pPr>
        <w:pStyle w:val="CodeChangeLine"/>
      </w:pPr>
      <w:r/>
    </w:p>
    <w:p>
      <w:pPr>
        <w:pStyle w:val="CodeChangeLine"/>
      </w:pPr>
      <w:r/>
    </w:p>
    <w:p>
      <w:pPr>
        <w:pStyle w:val="CodeChangeLine"/>
        <w:shd w:val="clear" w:color="auto" w:fill="fbe9eb"/>
      </w:pPr>
      <w:r>
        <w:t>### 7.4.8 Post-conditions</w:t>
      </w:r>
    </w:p>
    <w:p>
      <w:pPr>
        <w:pStyle w:val="CodeChangeLine"/>
        <w:shd w:val="clear" w:color="auto" w:fill="ecfdf0"/>
      </w:pPr>
      <w:r>
        <w:t>### 6.4.8 Post-conditions</w:t>
      </w:r>
    </w:p>
    <w:p>
      <w:pPr>
        <w:pStyle w:val="CodeChangeLine"/>
      </w:pPr>
      <w:r/>
    </w:p>
    <w:p>
      <w:pPr>
        <w:pStyle w:val="CodeChangeLine"/>
      </w:pPr>
      <w:r>
        <w:t xml:space="preserve">The IoT platform stores the correct measurement after adjusting calibration value. </w:t>
      </w:r>
    </w:p>
    <w:p>
      <w:pPr>
        <w:pStyle w:val="CodeChangeLine"/>
      </w:pPr>
      <w:r/>
    </w:p>
    <w:p>
      <w:pPr>
        <w:pStyle w:val="CodeChangeLine"/>
      </w:pPr>
      <w:r/>
    </w:p>
    <w:p>
      <w:pPr>
        <w:pStyle w:val="CodeChangeLine"/>
        <w:shd w:val="clear" w:color="auto" w:fill="fbe9eb"/>
      </w:pPr>
      <w:r>
        <w:t>### 7.4.9 High Level Illustration</w:t>
      </w:r>
    </w:p>
    <w:p>
      <w:pPr>
        <w:pStyle w:val="CodeChangeLine"/>
        <w:shd w:val="clear" w:color="auto" w:fill="ecfdf0"/>
      </w:pPr>
      <w:r>
        <w:t>### 6.4.9 High Level Illustration</w:t>
      </w:r>
    </w:p>
    <w:p>
      <w:pPr>
        <w:pStyle w:val="CodeChangeLine"/>
      </w:pPr>
      <w:r/>
    </w:p>
    <w:p>
      <w:pPr>
        <w:pStyle w:val="CodeChangeLine"/>
      </w:pPr>
      <w:r>
        <w:t>![Figure 6.4.9-1 Conceptual diagram of IoT device calibration](media/6_4_9_1.png)</w:t>
      </w:r>
    </w:p>
    <w:p>
      <w:pPr>
        <w:pStyle w:val="CodeChangeLine"/>
      </w:pPr>
      <w:r/>
    </w:p>
    <w:p>
      <w:pPr>
        <w:pStyle w:val="CodeHeader"/>
      </w:pPr>
      <w:r>
        <w:t>@@ -1383,11 +1365,10 @@ Figure 6.5.6-1 illustrates the high-level flows of the managing sensors vanishin</w:t>
      </w:r>
    </w:p>
    <w:p>
      <w:pPr>
        <w:pStyle w:val="CodeChangeLine"/>
      </w:pPr>
      <w:r/>
    </w:p>
    <w:p>
      <w:pPr>
        <w:pStyle w:val="CodeChangeLine"/>
      </w:pPr>
      <w:r>
        <w:tab/>
        <w:t>Finally, the IoT platform generates a temperature value for Sensor-A and stores the value to the corresponding resource for Sensor-A.</w:t>
      </w:r>
    </w:p>
    <w:p>
      <w:pPr>
        <w:pStyle w:val="CodeChangeLine"/>
      </w:pPr>
      <w:r/>
    </w:p>
    <w:p>
      <w:pPr>
        <w:pStyle w:val="CodeChangeLine"/>
        <w:shd w:val="clear" w:color="auto" w:fill="fbe9eb"/>
      </w:pPr>
      <w:r>
        <w:t>&lt;mark&gt;Editor note: Correct spelling error in figure caption&lt;/mark&gt;</w:t>
      </w:r>
    </w:p>
    <w:p>
      <w:pPr>
        <w:pStyle w:val="CodeChangeLine"/>
      </w:pPr>
      <w:r/>
    </w:p>
    <w:p>
      <w:pPr>
        <w:pStyle w:val="CodeChangeLine"/>
        <w:shd w:val="clear" w:color="auto" w:fill="fbe9eb"/>
      </w:pPr>
      <w:r>
        <w:t>![Figure 6.5.6-1 A normal flow for managing sensnors vanishing in extreme environment](media/6_5_6_1.png)</w:t>
      </w:r>
    </w:p>
    <w:p>
      <w:pPr>
        <w:pStyle w:val="CodeChangeLine"/>
        <w:shd w:val="clear" w:color="auto" w:fill="ecfdf0"/>
      </w:pPr>
      <w:r>
        <w:t>![Figure 6.5.6-1 A normal flow for managing sennsors vanishing in extreme environment](media/6_5_6_1.png)</w:t>
      </w:r>
    </w:p>
    <w:p>
      <w:pPr>
        <w:pStyle w:val="CodeChangeLine"/>
      </w:pPr>
      <w:r/>
    </w:p>
    <w:p>
      <w:pPr>
        <w:pStyle w:val="CodeChangeLine"/>
        <w:shd w:val="clear" w:color="auto" w:fill="fbe9eb"/>
      </w:pPr>
      <w:r>
        <w:t>**Figure 6.5.6-1 A normal flow for managing sensnors vanishing in extreme environment**</w:t>
      </w:r>
    </w:p>
    <w:p>
      <w:pPr>
        <w:pStyle w:val="CodeChangeLine"/>
        <w:shd w:val="clear" w:color="auto" w:fill="ecfdf0"/>
      </w:pPr>
      <w:r>
        <w:t>**Figure 6.5.6-1 A normal flow for managing sennsors vanishing in extreme environment**</w:t>
      </w:r>
    </w:p>
    <w:p>
      <w:pPr>
        <w:pStyle w:val="CodeChangeLine"/>
      </w:pPr>
      <w:r/>
    </w:p>
    <w:p>
      <w:pPr>
        <w:pStyle w:val="CodeChangeLine"/>
      </w:pPr>
      <w:r/>
    </w:p>
    <w:p>
      <w:pPr>
        <w:pStyle w:val="CodeChangeLine"/>
      </w:pPr>
      <w:r>
        <w:t>### 6.5.7 Alternative Flow</w:t>
      </w:r>
    </w:p>
    <w:p>
      <w:pPr>
        <w:pStyle w:val="CodeHeader"/>
      </w:pPr>
      <w:r>
        <w:t>@@ -1489,11 +1470,9 @@ A measurement of the healthcare sensor is initiated as shown in 7-1. Patient can</w:t>
      </w:r>
    </w:p>
    <w:p>
      <w:pPr>
        <w:pStyle w:val="CodeChangeLine"/>
      </w:pPr>
      <w:r/>
    </w:p>
    <w:p>
      <w:pPr>
        <w:pStyle w:val="CodeChangeLine"/>
      </w:pPr>
      <w:r>
        <w:t>### 7.1.7 Alternative Flow</w:t>
      </w:r>
    </w:p>
    <w:p>
      <w:pPr>
        <w:pStyle w:val="CodeChangeLine"/>
      </w:pPr>
      <w:r/>
    </w:p>
    <w:p>
      <w:pPr>
        <w:pStyle w:val="CodeChangeLine"/>
        <w:shd w:val="clear" w:color="auto" w:fill="fbe9eb"/>
      </w:pPr>
      <w:r>
        <w:t>&lt;mark&gt;Editor note: correct the figure references in this section&lt;/mark&gt;</w:t>
      </w:r>
    </w:p>
    <w:p>
      <w:pPr>
        <w:pStyle w:val="CodeChangeLine"/>
        <w:shd w:val="clear" w:color="auto" w:fill="fbe9eb"/>
      </w:pPr>
      <w:r/>
    </w:p>
    <w:p>
      <w:pPr>
        <w:pStyle w:val="CodeChangeLine"/>
      </w:pPr>
      <w:r>
        <w:t>**Alternative Flow 1** - Network/Device-aware transmissions</w:t>
      </w:r>
    </w:p>
    <w:p>
      <w:pPr>
        <w:pStyle w:val="CodeChangeLine"/>
      </w:pPr>
      <w:r/>
    </w:p>
    <w:p>
      <w:pPr>
        <w:pStyle w:val="CodeChangeLine"/>
        <w:shd w:val="clear" w:color="auto" w:fill="fbe9eb"/>
      </w:pPr>
      <w:r>
        <w:t>The flow in figure 7-2 depicts network/device-aware constraint processing in the system. This flow is the same as the regular flow with the following exceptions: The healthcare sensor data may need be stored on the gateway and forwarded at a future time based on one or more of the following factors:</w:t>
      </w:r>
    </w:p>
    <w:p>
      <w:pPr>
        <w:pStyle w:val="CodeChangeLine"/>
        <w:shd w:val="clear" w:color="auto" w:fill="ecfdf0"/>
      </w:pPr>
      <w:r>
        <w:t>The flow in figure 7.1.7-1 depicts network/device-aware constraint processing in the system. This flow is the same as the regular flow with the following exceptions: The healthcare sensor data may need be stored on the gateway and forwarded at a future time based on one or more of the following factors:</w:t>
      </w:r>
    </w:p>
    <w:p>
      <w:pPr>
        <w:pStyle w:val="CodeChangeLine"/>
      </w:pPr>
      <w:r/>
    </w:p>
    <w:p>
      <w:pPr>
        <w:pStyle w:val="CodeChangeLine"/>
      </w:pPr>
      <w:r>
        <w:t>- delay tolerances associated with the data.</w:t>
      </w:r>
    </w:p>
    <w:p>
      <w:pPr>
        <w:pStyle w:val="CodeChangeLine"/>
      </w:pPr>
      <w:r>
        <w:t>- network policy constraints (efficiency, avoidance of peak loads, protection of spectrum).</w:t>
      </w:r>
    </w:p>
    <w:p>
      <w:pPr>
        <w:pStyle w:val="CodeHeader"/>
      </w:pPr>
      <w:r>
        <w:t>@@ -1510,9 +1489,7 @@ Measurements can be taken with or without patient intervention and sent to the h</w:t>
      </w:r>
    </w:p>
    <w:p>
      <w:pPr>
        <w:pStyle w:val="CodeChangeLine"/>
      </w:pPr>
      <w:r/>
    </w:p>
    <w:p>
      <w:pPr>
        <w:pStyle w:val="CodeChangeLine"/>
      </w:pPr>
      <w:r>
        <w:t xml:space="preserve">**Alternative Flow 2 Remote Monitoring** </w:t>
      </w:r>
    </w:p>
    <w:p>
      <w:pPr>
        <w:pStyle w:val="CodeChangeLine"/>
      </w:pPr>
      <w:r/>
    </w:p>
    <w:p>
      <w:pPr>
        <w:pStyle w:val="CodeChangeLine"/>
        <w:shd w:val="clear" w:color="auto" w:fill="fbe9eb"/>
      </w:pPr>
      <w:r>
        <w:t>&lt;mark&gt;Editor note: Figure reference is wrong&lt;/mark&gt;</w:t>
      </w:r>
    </w:p>
    <w:p>
      <w:pPr>
        <w:pStyle w:val="CodeChangeLine"/>
        <w:shd w:val="clear" w:color="auto" w:fill="fbe9eb"/>
      </w:pPr>
      <w:r/>
    </w:p>
    <w:p>
      <w:pPr>
        <w:pStyle w:val="CodeChangeLine"/>
        <w:shd w:val="clear" w:color="auto" w:fill="fbe9eb"/>
      </w:pPr>
      <w:r>
        <w:t>Figure 7-3 depicts the event flow for remote monitoring from the healthcare service enterprise backend server. The backend server may expect the patient to submit sensor data periodically or with a pre-defined schedule. In the absence of a typically expected sensor data event, the backend server can trigger an event to request the patient to take a measurement.</w:t>
      </w:r>
    </w:p>
    <w:p>
      <w:pPr>
        <w:pStyle w:val="CodeChangeLine"/>
        <w:shd w:val="clear" w:color="auto" w:fill="ecfdf0"/>
      </w:pPr>
      <w:r>
        <w:t>Figure 7.1.7-2 depicts the event flow for remote monitoring from the healthcare service enterprise backend server. The backend server may expect the patient to submit sensor data periodically or with a pre-defined schedule. In the absence of a typically expected sensor data event, the backend server can trigger an event to request the patient to take a measurement.</w:t>
      </w:r>
    </w:p>
    <w:p>
      <w:pPr>
        <w:pStyle w:val="CodeChangeLine"/>
      </w:pPr>
      <w:r/>
    </w:p>
    <w:p>
      <w:pPr>
        <w:pStyle w:val="CodeChangeLine"/>
      </w:pPr>
      <w:r>
        <w:t>In this case, the trigger (Trigger D) arrives over a wide-area-network from the patient monitoring app on the healthcare service backend server delivered to the healthcare gateway. The patient monitoring app could generate this request based on a statically configured policy to request measurements or due to some dynamic needs based on processing of previous patient data.</w:t>
      </w:r>
    </w:p>
    <w:p>
      <w:pPr>
        <w:pStyle w:val="CodeChangeLine"/>
      </w:pPr>
      <w:r/>
    </w:p>
    <w:p>
      <w:pPr>
        <w:pStyle w:val="CodeHeader"/>
      </w:pPr>
      <w:r>
        <w:t>@@ -1529,9 +1506,7 @@ The patient subsequently takes the sensor measurement upon receiving the request</w:t>
      </w:r>
    </w:p>
    <w:p>
      <w:pPr>
        <w:pStyle w:val="CodeChangeLine"/>
      </w:pPr>
      <w:r/>
    </w:p>
    <w:p>
      <w:pPr>
        <w:pStyle w:val="CodeChangeLine"/>
      </w:pPr>
      <w:r>
        <w:t>**Alternative Flow 3** Local Gateway Data Analysis</w:t>
      </w:r>
    </w:p>
    <w:p>
      <w:pPr>
        <w:pStyle w:val="CodeChangeLine"/>
      </w:pPr>
      <w:r/>
    </w:p>
    <w:p>
      <w:pPr>
        <w:pStyle w:val="CodeChangeLine"/>
        <w:shd w:val="clear" w:color="auto" w:fill="fbe9eb"/>
      </w:pPr>
      <w:r>
        <w:t>&lt;mark&gt;Editor note: Figure reference is wrong&lt;/mark&gt;</w:t>
      </w:r>
    </w:p>
    <w:p>
      <w:pPr>
        <w:pStyle w:val="CodeChangeLine"/>
        <w:shd w:val="clear" w:color="auto" w:fill="fbe9eb"/>
      </w:pPr>
      <w:r/>
    </w:p>
    <w:p>
      <w:pPr>
        <w:pStyle w:val="CodeChangeLine"/>
        <w:shd w:val="clear" w:color="auto" w:fill="fbe9eb"/>
      </w:pPr>
      <w:r>
        <w:t>Figure 7-4 illustrates a Local Gateway Data Analysis flow of events. The local gateway node can continuously process the data that it forwards. It can have smart algorithms to detect health anomalies associated with the patient. In case no anomalies are detected, the health sensor data may only be forwarded occasionally (see also alternative flow 1). In case an anomaly is detected, the local gateway needs to send an alert to the health care provider or the care-giver or to the patient if desired.</w:t>
      </w:r>
    </w:p>
    <w:p>
      <w:pPr>
        <w:pStyle w:val="CodeChangeLine"/>
        <w:shd w:val="clear" w:color="auto" w:fill="ecfdf0"/>
      </w:pPr>
      <w:r>
        <w:t>Figure 7.1.7-3 illustrates a Local Gateway Data Analysis flow of events. The local gateway node can continuously process the data that it forwards. It can have smart algorithms to detect health anomalies associated with the patient. In case no anomalies are detected, the health sensor data may only be forwarded occasionally (see also alternative flow 1). In case an anomaly is detected, the local gateway needs to send an alert to the health care provider or the care-giver or to the patient if desired.</w:t>
      </w:r>
    </w:p>
    <w:p>
      <w:pPr>
        <w:pStyle w:val="CodeChangeLine"/>
      </w:pPr>
      <w:r/>
    </w:p>
    <w:p>
      <w:pPr>
        <w:pStyle w:val="CodeChangeLine"/>
      </w:pPr>
      <w:r>
        <w:t>![Figure 7.1.7-3 Local Gateway Data Analysis Flow](media/7_1_7_3.png)</w:t>
      </w:r>
    </w:p>
    <w:p>
      <w:pPr>
        <w:pStyle w:val="CodeChangeLine"/>
      </w:pPr>
      <w:r/>
    </w:p>
    <w:p>
      <w:pPr>
        <w:pStyle w:val="CodeHeader"/>
      </w:pPr>
      <w:r>
        <w:t>@@ -1540,9 +1515,7 @@ Figure 7-4 illustrates a Local Gateway Data Analysis flow of events. The local g</w:t>
      </w:r>
    </w:p>
    <w:p>
      <w:pPr>
        <w:pStyle w:val="CodeChangeLine"/>
      </w:pPr>
      <w:r/>
    </w:p>
    <w:p>
      <w:pPr>
        <w:pStyle w:val="CodeChangeLine"/>
      </w:pPr>
      <w:r>
        <w:t>**Alternative Flow 4**  - Partial Failure Case</w:t>
      </w:r>
    </w:p>
    <w:p>
      <w:pPr>
        <w:pStyle w:val="CodeChangeLine"/>
      </w:pPr>
      <w:r/>
    </w:p>
    <w:p>
      <w:pPr>
        <w:pStyle w:val="CodeChangeLine"/>
        <w:shd w:val="clear" w:color="auto" w:fill="fbe9eb"/>
      </w:pPr>
      <w:r>
        <w:t>&lt;mark&gt;Editor note: Figure reference is wrong&lt;/mark&gt;</w:t>
      </w:r>
    </w:p>
    <w:p>
      <w:pPr>
        <w:pStyle w:val="CodeChangeLine"/>
        <w:shd w:val="clear" w:color="auto" w:fill="fbe9eb"/>
      </w:pPr>
      <w:r/>
    </w:p>
    <w:p>
      <w:pPr>
        <w:pStyle w:val="CodeChangeLine"/>
        <w:shd w:val="clear" w:color="auto" w:fill="fbe9eb"/>
      </w:pPr>
      <w:r>
        <w:t>Figure 7-5 illustrates a partial system failure, i.e. the failure of Healthcare Service Backend Server and/or the failure of the connection between Healthcare Gateway and Wide Area Network. In this situation, nevertheless, components of the healthcare system that are not in failure should continue their normal operations. Examples of the 'normal operation' are as follows:</w:t>
      </w:r>
    </w:p>
    <w:p>
      <w:pPr>
        <w:pStyle w:val="CodeChangeLine"/>
        <w:shd w:val="clear" w:color="auto" w:fill="ecfdf0"/>
      </w:pPr>
      <w:r>
        <w:t>Figure 7.1.7-4 illustrates a partial system failure, i.e. the failure of Healthcare Service Backend Server and/or the failure of the connection between Healthcare Gateway and Wide Area Network. In this situation, nevertheless, components of the healthcare system that are not in failure should continue their normal operations. Examples of the 'normal operation' are as follows:</w:t>
      </w:r>
    </w:p>
    <w:p>
      <w:pPr>
        <w:pStyle w:val="CodeChangeLine"/>
      </w:pPr>
      <w:r/>
    </w:p>
    <w:p>
      <w:pPr>
        <w:pStyle w:val="CodeChangeLine"/>
      </w:pPr>
      <w:r>
        <w:t>1. Reports from Healthcare sensor are received by and stored in Healthcare Gateway</w:t>
      </w:r>
    </w:p>
    <w:p>
      <w:pPr>
        <w:pStyle w:val="CodeChangeLine"/>
      </w:pPr>
      <w:r>
        <w:t>2. Notification from Healthcare Gateway (e.g. Measurement triggers) is forwarded to Patient</w:t>
      </w:r>
    </w:p>
    <w:p>
      <w:pPr>
        <w:pStyle w:val="CodeHeader"/>
      </w:pPr>
      <w:r>
        <w:t>@@ -1569,9 +1542,7 @@ Components of the healthcare system that are not in failure continue their norma</w:t>
      </w:r>
    </w:p>
    <w:p>
      <w:pPr>
        <w:pStyle w:val="CodeChangeLine"/>
      </w:pPr>
      <w:r/>
    </w:p>
    <w:p>
      <w:pPr>
        <w:pStyle w:val="CodeChangeLine"/>
      </w:pPr>
      <w:r>
        <w:t>### 7.1.9 High Level Illustration</w:t>
      </w:r>
    </w:p>
    <w:p>
      <w:pPr>
        <w:pStyle w:val="CodeChangeLine"/>
      </w:pPr>
      <w:r/>
    </w:p>
    <w:p>
      <w:pPr>
        <w:pStyle w:val="CodeChangeLine"/>
        <w:shd w:val="clear" w:color="auto" w:fill="fbe9eb"/>
      </w:pPr>
      <w:r>
        <w:t>&lt;mark&gt;Editor note: correct the figure references in this section&lt;/mark&gt;</w:t>
      </w:r>
    </w:p>
    <w:p>
      <w:pPr>
        <w:pStyle w:val="CodeChangeLine"/>
        <w:shd w:val="clear" w:color="auto" w:fill="fbe9eb"/>
      </w:pPr>
      <w:r/>
    </w:p>
    <w:p>
      <w:pPr>
        <w:pStyle w:val="CodeChangeLine"/>
        <w:shd w:val="clear" w:color="auto" w:fill="fbe9eb"/>
      </w:pPr>
      <w:r>
        <w:t>Figure 7-6 summarizes the overall description of this use-case. All the flows and connectivity should be self-explanatory based on the discussions in the previous clauses.</w:t>
      </w:r>
    </w:p>
    <w:p>
      <w:pPr>
        <w:pStyle w:val="CodeChangeLine"/>
        <w:shd w:val="clear" w:color="auto" w:fill="ecfdf0"/>
      </w:pPr>
      <w:r>
        <w:t>Figure 7.1.9-1 summarizes the overall description of this use-case. All the flows and connectivity should be self-explanatory based on the discussions in the previous clauses.</w:t>
      </w:r>
    </w:p>
    <w:p>
      <w:pPr>
        <w:pStyle w:val="CodeChangeLine"/>
      </w:pPr>
      <w:r/>
    </w:p>
    <w:p>
      <w:pPr>
        <w:pStyle w:val="CodeChangeLine"/>
      </w:pPr>
      <w:r>
        <w:t>![Figure 7.1.9-1 Healthcare Gateway High Level Illustration](media/7_1_9_1.png)</w:t>
      </w:r>
    </w:p>
    <w:p>
      <w:pPr>
        <w:pStyle w:val="CodeChangeLine"/>
      </w:pPr>
      <w:r/>
    </w:p>
    <w:p>
      <w:pPr>
        <w:pStyle w:val="CodeHeader"/>
      </w:pPr>
      <w:r>
        <w:t>@@ -1924,7 +1895,7 @@ Smart Watch Device has the capability to discovery the Treadmill Device and Bicy</w:t>
      </w:r>
    </w:p>
    <w:p>
      <w:pPr>
        <w:pStyle w:val="CodeChangeLine"/>
      </w:pPr>
      <w:r/>
    </w:p>
    <w:p>
      <w:pPr>
        <w:pStyle w:val="CodeChangeLine"/>
      </w:pPr>
      <w:r>
        <w:t>### 7.4.5 Triggers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7.4.6 Normal Flow</w:t>
      </w:r>
    </w:p>
    <w:p>
      <w:pPr>
        <w:pStyle w:val="CodeHeader"/>
      </w:pPr>
      <w:r>
        <w:t>@@ -1951,17 +1922,17 @@ Not applicable</w:t>
      </w:r>
    </w:p>
    <w:p>
      <w:pPr>
        <w:pStyle w:val="CodeChangeLine"/>
      </w:pPr>
      <w:r/>
    </w:p>
    <w:p>
      <w:pPr>
        <w:pStyle w:val="CodeChangeLine"/>
      </w:pPr>
      <w:r>
        <w:t>### 7.4.7 Alternative flow</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7.4.8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7.4.9 High Level Illustration</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7.4.10 Potential requirements</w:t>
      </w:r>
    </w:p>
    <w:p>
      <w:pPr>
        <w:pStyle w:val="CodeHeader"/>
      </w:pPr>
      <w:r>
        <w:t>@@ -2299,7 +2270,7 @@ None</w:t>
      </w:r>
    </w:p>
    <w:p>
      <w:pPr>
        <w:pStyle w:val="CodeChangeLine"/>
      </w:pPr>
      <w:r/>
    </w:p>
    <w:p>
      <w:pPr>
        <w:pStyle w:val="CodeChangeLine"/>
      </w:pPr>
      <w:r>
        <w:t>### 8.2.8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8.2.9 High Level Illustration</w:t>
      </w:r>
    </w:p>
    <w:p>
      <w:pPr>
        <w:pStyle w:val="CodeHeader"/>
      </w:pPr>
      <w:r>
        <w:t>@@ -2318,7 +2289,7 @@ None</w:t>
      </w:r>
    </w:p>
    <w:p>
      <w:pPr>
        <w:pStyle w:val="CodeChangeLine"/>
      </w:pPr>
      <w:r/>
    </w:p>
    <w:p>
      <w:pPr>
        <w:pStyle w:val="CodeChangeLine"/>
      </w:pPr>
      <w:r>
        <w:t>## 8.3 Car/Bicycle Sharing Services</w:t>
      </w:r>
    </w:p>
    <w:p>
      <w:pPr>
        <w:pStyle w:val="CodeChangeLine"/>
      </w:pPr>
      <w:r/>
    </w:p>
    <w:p>
      <w:pPr>
        <w:pStyle w:val="CodeChangeLine"/>
        <w:shd w:val="clear" w:color="auto" w:fill="fbe9eb"/>
      </w:pPr>
      <w:r>
        <w:t>\-void-</w:t>
      </w:r>
    </w:p>
    <w:p>
      <w:pPr>
        <w:pStyle w:val="CodeChangeLine"/>
        <w:shd w:val="clear" w:color="auto" w:fill="ecfdf0"/>
      </w:pPr>
      <w:r>
        <w:t>None</w:t>
      </w:r>
    </w:p>
    <w:p>
      <w:pPr>
        <w:pStyle w:val="CodeChangeLine"/>
      </w:pPr>
      <w:r/>
    </w:p>
    <w:p>
      <w:pPr>
        <w:pStyle w:val="CodeChangeLine"/>
      </w:pPr>
      <w:r>
        <w:t>&gt; Note: This use case can be found in TR-0026 &lt;a href="#_ref_i.20"&gt;[i.20]&lt;/a&gt;.</w:t>
      </w:r>
    </w:p>
    <w:p>
      <w:pPr>
        <w:pStyle w:val="CodeChangeLine"/>
      </w:pPr>
      <w:r/>
    </w:p>
    <w:p>
      <w:pPr>
        <w:pStyle w:val="CodeHeader"/>
      </w:pPr>
      <w:r>
        <w:t>@@ -2327,7 +2298,7 @@ Source: oneM2M-REQ-2012-0132R01 Use Case: Car/Bicycle Sharing Services</w:t>
      </w:r>
    </w:p>
    <w:p>
      <w:pPr>
        <w:pStyle w:val="CodeChangeLine"/>
      </w:pPr>
      <w:r/>
    </w:p>
    <w:p>
      <w:pPr>
        <w:pStyle w:val="CodeChangeLine"/>
      </w:pPr>
      <w:r>
        <w:t>## 8.4 Smart Parking</w:t>
      </w:r>
    </w:p>
    <w:p>
      <w:pPr>
        <w:pStyle w:val="CodeChangeLine"/>
      </w:pPr>
      <w:r/>
    </w:p>
    <w:p>
      <w:pPr>
        <w:pStyle w:val="CodeChangeLine"/>
        <w:shd w:val="clear" w:color="auto" w:fill="fbe9eb"/>
      </w:pPr>
      <w:r>
        <w:t>\-void-</w:t>
      </w:r>
    </w:p>
    <w:p>
      <w:pPr>
        <w:pStyle w:val="CodeChangeLine"/>
        <w:shd w:val="clear" w:color="auto" w:fill="ecfdf0"/>
      </w:pPr>
      <w:r>
        <w:t>None</w:t>
      </w:r>
    </w:p>
    <w:p>
      <w:pPr>
        <w:pStyle w:val="CodeChangeLine"/>
      </w:pPr>
      <w:r/>
    </w:p>
    <w:p>
      <w:pPr>
        <w:pStyle w:val="CodeChangeLine"/>
      </w:pPr>
      <w:r>
        <w:t>&gt; Note: This use case can be found in TR-0026 &lt;a href="#_ref_i.20"&gt;[i.20]&lt;/a&gt;.</w:t>
      </w:r>
    </w:p>
    <w:p>
      <w:pPr>
        <w:pStyle w:val="CodeChangeLine"/>
      </w:pPr>
      <w:r/>
    </w:p>
    <w:p>
      <w:pPr>
        <w:pStyle w:val="CodeHeader"/>
      </w:pPr>
      <w:r>
        <w:t>@@ -2407,9 +2378,7 @@ UDs can request their dedicated information from WGs. When the network connectiv</w:t>
      </w:r>
    </w:p>
    <w:p>
      <w:pPr>
        <w:pStyle w:val="CodeChangeLine"/>
      </w:pPr>
      <w:r/>
    </w:p>
    <w:p>
      <w:pPr>
        <w:pStyle w:val="CodeChangeLine"/>
      </w:pPr>
      <w:r>
        <w:t>### 8.5.8 Post-conditions</w:t>
      </w:r>
    </w:p>
    <w:p>
      <w:pPr>
        <w:pStyle w:val="CodeChangeLine"/>
      </w:pPr>
      <w:r/>
    </w:p>
    <w:p>
      <w:pPr>
        <w:pStyle w:val="CodeChangeLine"/>
        <w:shd w:val="clear" w:color="auto" w:fill="fbe9eb"/>
      </w:pPr>
      <w:r>
        <w:t>&lt;mark&gt;Editor Note: should be None&lt;/mark&gt;</w:t>
      </w:r>
    </w:p>
    <w:p>
      <w:pPr>
        <w:pStyle w:val="CodeChangeLine"/>
        <w:shd w:val="clear" w:color="auto" w:fill="fbe9eb"/>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8.5.9 High Level Illustration</w:t>
      </w:r>
    </w:p>
    <w:p>
      <w:pPr>
        <w:pStyle w:val="CodeHeader"/>
      </w:pPr>
      <w:r>
        <w:t>@@ -2484,7 +2453,7 @@ Note, there is no business relationship between the Holistic Management Service</w:t>
      </w:r>
    </w:p>
    <w:p>
      <w:pPr>
        <w:pStyle w:val="CodeChangeLine"/>
      </w:pPr>
      <w:r/>
    </w:p>
    <w:p>
      <w:pPr>
        <w:pStyle w:val="CodeChangeLine"/>
      </w:pPr>
      <w:r>
        <w:t>### 8.6.5 Triggers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8.6.6 Normal Flow</w:t>
      </w:r>
    </w:p>
    <w:p>
      <w:pPr>
        <w:pStyle w:val="CodeHeader"/>
      </w:pPr>
      <w:r>
        <w:t>@@ -2502,12 +2471,12 @@ Not applicable</w:t>
      </w:r>
    </w:p>
    <w:p>
      <w:pPr>
        <w:pStyle w:val="CodeChangeLine"/>
      </w:pPr>
      <w:r/>
    </w:p>
    <w:p>
      <w:pPr>
        <w:pStyle w:val="CodeChangeLine"/>
      </w:pPr>
      <w:r>
        <w:t>### 8.6.7 Alternative flow</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8.6.8 Post-conditions</w:t>
      </w:r>
    </w:p>
    <w:p>
      <w:pPr>
        <w:pStyle w:val="CodeChangeLine"/>
      </w:pPr>
      <w:r/>
    </w:p>
    <w:p>
      <w:pPr>
        <w:pStyle w:val="CodeChangeLine"/>
        <w:shd w:val="clear" w:color="auto" w:fill="fbe9eb"/>
      </w:pPr>
      <w:r>
        <w:t xml:space="preserve">Not applicable </w:t>
      </w:r>
    </w:p>
    <w:p>
      <w:pPr>
        <w:pStyle w:val="CodeChangeLine"/>
        <w:shd w:val="clear" w:color="auto" w:fill="ecfdf0"/>
      </w:pPr>
      <w:r>
        <w:t>None</w:t>
      </w:r>
    </w:p>
    <w:p>
      <w:pPr>
        <w:pStyle w:val="CodeChangeLine"/>
      </w:pPr>
      <w:r/>
    </w:p>
    <w:p>
      <w:pPr>
        <w:pStyle w:val="CodeChangeLine"/>
      </w:pPr>
      <w:r/>
    </w:p>
    <w:p>
      <w:pPr>
        <w:pStyle w:val="CodeChangeLine"/>
      </w:pPr>
      <w:r>
        <w:t>### 8.6.9 High Level Illustration</w:t>
      </w:r>
    </w:p>
    <w:p>
      <w:pPr>
        <w:pStyle w:val="CodeHeader"/>
      </w:pPr>
      <w:r>
        <w:t>@@ -2565,7 +2534,7 @@ REQ-2018-0061R02 Resource reservation for public services</w:t>
      </w:r>
    </w:p>
    <w:p>
      <w:pPr>
        <w:pStyle w:val="CodeChangeLine"/>
      </w:pPr>
      <w:r/>
    </w:p>
    <w:p>
      <w:pPr>
        <w:pStyle w:val="CodeChangeLine"/>
      </w:pPr>
      <w:r>
        <w:t>### 8.7.5 Triggers</w:t>
      </w:r>
    </w:p>
    <w:p>
      <w:pPr>
        <w:pStyle w:val="CodeChangeLine"/>
      </w:pPr>
      <w:r/>
    </w:p>
    <w:p>
      <w:pPr>
        <w:pStyle w:val="CodeChangeLine"/>
        <w:shd w:val="clear" w:color="auto" w:fill="fbe9eb"/>
      </w:pPr>
      <w:r>
        <w:t>- None.</w:t>
      </w:r>
    </w:p>
    <w:p>
      <w:pPr>
        <w:pStyle w:val="CodeChangeLine"/>
        <w:shd w:val="clear" w:color="auto" w:fill="ecfdf0"/>
      </w:pPr>
      <w:r>
        <w:t>None</w:t>
      </w:r>
    </w:p>
    <w:p>
      <w:pPr>
        <w:pStyle w:val="CodeChangeLine"/>
      </w:pPr>
      <w:r/>
    </w:p>
    <w:p>
      <w:pPr>
        <w:pStyle w:val="CodeChangeLine"/>
      </w:pPr>
      <w:r/>
    </w:p>
    <w:p>
      <w:pPr>
        <w:pStyle w:val="CodeChangeLine"/>
      </w:pPr>
      <w:r>
        <w:t>### 8.7.6 Normal Flow</w:t>
      </w:r>
    </w:p>
    <w:p>
      <w:pPr>
        <w:pStyle w:val="CodeHeader"/>
      </w:pPr>
      <w:r>
        <w:t>@@ -2600,7 +2569,7 @@ None</w:t>
      </w:r>
    </w:p>
    <w:p>
      <w:pPr>
        <w:pStyle w:val="CodeChangeLine"/>
      </w:pPr>
      <w:r/>
    </w:p>
    <w:p>
      <w:pPr>
        <w:pStyle w:val="CodeChangeLine"/>
      </w:pPr>
      <w:r>
        <w:t>### 8.7.8 Post-conditions</w:t>
      </w:r>
    </w:p>
    <w:p>
      <w:pPr>
        <w:pStyle w:val="CodeChangeLine"/>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8.7.9 High Level Illustration</w:t>
      </w:r>
    </w:p>
    <w:p>
      <w:pPr>
        <w:pStyle w:val="CodeHeader"/>
      </w:pPr>
      <w:r>
        <w:t>@@ -2646,7 +2615,7 @@ Street manager and district manager has the ability to receive the Manhole Cover</w:t>
      </w:r>
    </w:p>
    <w:p>
      <w:pPr>
        <w:pStyle w:val="CodeChangeLine"/>
      </w:pPr>
      <w:r/>
    </w:p>
    <w:p>
      <w:pPr>
        <w:pStyle w:val="CodeChangeLine"/>
      </w:pPr>
      <w:r>
        <w:t>### 8.8.5 Triggers</w:t>
      </w:r>
    </w:p>
    <w:p>
      <w:pPr>
        <w:pStyle w:val="CodeChangeLine"/>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8.8.6 Normal Flow</w:t>
      </w:r>
    </w:p>
    <w:p>
      <w:pPr>
        <w:pStyle w:val="CodeHeader"/>
      </w:pPr>
      <w:r>
        <w:t>@@ -2667,12 +2636,12 @@ N/A</w:t>
      </w:r>
    </w:p>
    <w:p>
      <w:pPr>
        <w:pStyle w:val="CodeChangeLine"/>
      </w:pPr>
      <w:r/>
    </w:p>
    <w:p>
      <w:pPr>
        <w:pStyle w:val="CodeChangeLine"/>
      </w:pPr>
      <w:r>
        <w:t>### 8.8.7 Alternative flow</w:t>
      </w:r>
    </w:p>
    <w:p>
      <w:pPr>
        <w:pStyle w:val="CodeChangeLine"/>
      </w:pPr>
      <w:r/>
    </w:p>
    <w:p>
      <w:pPr>
        <w:pStyle w:val="CodeChangeLine"/>
        <w:shd w:val="clear" w:color="auto" w:fill="fbe9eb"/>
      </w:pPr>
      <w:r>
        <w:t xml:space="preserve">N/A    </w:t>
      </w:r>
    </w:p>
    <w:p>
      <w:pPr>
        <w:pStyle w:val="CodeChangeLine"/>
        <w:shd w:val="clear" w:color="auto" w:fill="ecfdf0"/>
      </w:pPr>
      <w:r>
        <w:t>None</w:t>
      </w:r>
    </w:p>
    <w:p>
      <w:pPr>
        <w:pStyle w:val="CodeChangeLine"/>
      </w:pPr>
      <w:r/>
    </w:p>
    <w:p>
      <w:pPr>
        <w:pStyle w:val="CodeChangeLine"/>
      </w:pPr>
      <w:r/>
    </w:p>
    <w:p>
      <w:pPr>
        <w:pStyle w:val="CodeChangeLine"/>
      </w:pPr>
      <w:r>
        <w:t>### 8.8.8 Post-conditions</w:t>
      </w:r>
    </w:p>
    <w:p>
      <w:pPr>
        <w:pStyle w:val="CodeChangeLine"/>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8.8.9 High Level Illustration</w:t>
      </w:r>
    </w:p>
    <w:p>
      <w:pPr>
        <w:pStyle w:val="CodeHeader"/>
      </w:pPr>
      <w:r>
        <w:t>@@ -2757,7 +2726,7 @@ None</w:t>
      </w:r>
    </w:p>
    <w:p>
      <w:pPr>
        <w:pStyle w:val="CodeChangeLine"/>
      </w:pPr>
      <w:r/>
    </w:p>
    <w:p>
      <w:pPr>
        <w:pStyle w:val="CodeChangeLine"/>
      </w:pPr>
      <w:r>
        <w:t>### 9.1.8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9.1.9 High Level Illustration</w:t>
      </w:r>
    </w:p>
    <w:p>
      <w:pPr>
        <w:pStyle w:val="CodeHeader"/>
      </w:pPr>
      <w:r>
        <w:t>@@ -2794,7 +2763,7 @@ Not applicable</w:t>
      </w:r>
    </w:p>
    <w:p>
      <w:pPr>
        <w:pStyle w:val="CodeChangeLine"/>
      </w:pPr>
      <w:r>
        <w:tab/>
        <w:t>- b. The M2M System operator shall be is able to support subscription of the HEM application to subscribe.</w:t>
      </w:r>
    </w:p>
    <w:p>
      <w:pPr>
        <w:pStyle w:val="CodeChangeLine"/>
      </w:pPr>
      <w:r>
        <w:t xml:space="preserve">6. Support for optimizing notification:  </w:t>
      </w:r>
    </w:p>
    <w:p>
      <w:pPr>
        <w:pStyle w:val="CodeChangeLine"/>
      </w:pPr>
      <w:r>
        <w:tab/>
        <w:t>The M2M System shall be able to may support a mechanism for delaying notification of Connected Devices in the case of a congested communication network.</w:t>
      </w:r>
    </w:p>
    <w:p>
      <w:pPr>
        <w:pStyle w:val="CodeChangeLine"/>
        <w:shd w:val="clear" w:color="auto" w:fill="fbe9eb"/>
      </w:pPr>
      <w:r>
        <w:t xml:space="preserve"> 7. Support for store and forward</w:t>
      </w:r>
    </w:p>
    <w:p>
      <w:pPr>
        <w:pStyle w:val="CodeChangeLine"/>
        <w:shd w:val="clear" w:color="auto" w:fill="ecfdf0"/>
      </w:pPr>
      <w:r>
        <w:t>7. Support for store and forward</w:t>
      </w:r>
    </w:p>
    <w:p>
      <w:pPr>
        <w:pStyle w:val="CodeChangeLine"/>
      </w:pPr>
      <w:r>
        <w:tab/>
        <w:t>- a. The M2M System shall be able to support a mechanism to manage a remote access of information from other Connected Devices. When supported the M2M system shall be able to aggregate requests and delay to perform the request depending on a given delay and/or category e.g. the M2M application does not have to connect in real time with the devices.</w:t>
      </w:r>
    </w:p>
    <w:p>
      <w:pPr>
        <w:pStyle w:val="CodeChangeLine"/>
      </w:pPr>
      <w:r/>
    </w:p>
    <w:p>
      <w:pPr>
        <w:pStyle w:val="CodeChangeLine"/>
      </w:pPr>
      <w:r/>
    </w:p>
    <w:p>
      <w:pPr>
        <w:pStyle w:val="CodeHeader"/>
      </w:pPr>
      <w:r>
        <w:t>@@ -2888,7 +2857,6 @@ The aim of the Plug-In Electric Vehicle (PEV) Charging and Power feed use case i</w:t>
      </w:r>
    </w:p>
    <w:p>
      <w:pPr>
        <w:pStyle w:val="CodeChangeLine"/>
      </w:pPr>
      <w:r>
        <w:t xml:space="preserve">- PEV-SP in charge of functions related to PEV service and maintenance (providing a data connection for PEV health purposes such as managing Power Feed cycles, PEV-SW upgrading &amp; remote fault analysis, etc.) </w:t>
      </w:r>
    </w:p>
    <w:p>
      <w:pPr>
        <w:pStyle w:val="CodeChangeLine"/>
      </w:pPr>
      <w:r>
        <w:t>- PEV manufacturer in charge of replacing faulty parts for the PEV</w:t>
      </w:r>
    </w:p>
    <w:p>
      <w:pPr>
        <w:pStyle w:val="CodeChangeLine"/>
      </w:pPr>
      <w:r/>
    </w:p>
    <w:p>
      <w:pPr>
        <w:pStyle w:val="CodeChangeLine"/>
        <w:shd w:val="clear" w:color="auto" w:fill="fbe9eb"/>
      </w:pPr>
      <w:r/>
    </w:p>
    <w:p>
      <w:pPr>
        <w:pStyle w:val="CodeChangeLine"/>
      </w:pPr>
      <w:r>
        <w:t>PEV can be considered as a load and also as power storage (DER resource). In the latter case, a Power Feed from the PEV's battery into the Electricity-N/W is required.</w:t>
      </w:r>
    </w:p>
    <w:p>
      <w:pPr>
        <w:pStyle w:val="CodeChangeLine"/>
      </w:pPr>
      <w:r/>
    </w:p>
    <w:p>
      <w:pPr>
        <w:pStyle w:val="CodeChangeLine"/>
      </w:pPr>
      <w:r>
        <w:t xml:space="preserve">The Electricity-N/W-SP is responsible for the residential homes (smart) metering. Depending on local laws, the metering for the (Electrical Vehicle Charging Equipment) EVCE may be independent and might be a physical part of the EVCE. </w:t>
      </w:r>
    </w:p>
    <w:p>
      <w:pPr>
        <w:pStyle w:val="CodeHeader"/>
      </w:pPr>
      <w:r>
        <w:t>@@ -2907,7 +2875,7 @@ Related Standard activities:</w:t>
      </w:r>
    </w:p>
    <w:p>
      <w:pPr>
        <w:pStyle w:val="CodeChangeLine"/>
      </w:pPr>
      <w:r/>
    </w:p>
    <w:p>
      <w:pPr>
        <w:pStyle w:val="CodeChangeLine"/>
      </w:pPr>
      <w:r>
        <w:t>oneM2M-REQ-2012-0059R02 Plug-In Electric Vehicle Charging (PEV)</w:t>
      </w:r>
    </w:p>
    <w:p>
      <w:pPr>
        <w:pStyle w:val="CodeChangeLine"/>
      </w:pPr>
      <w:r/>
    </w:p>
    <w:p>
      <w:pPr>
        <w:pStyle w:val="CodeChangeLine"/>
        <w:shd w:val="clear" w:color="auto" w:fill="fbe9eb"/>
      </w:pPr>
      <w:r>
        <w:t>&gt; Note:  from &lt;a href="#_ref_i.2"&gt;[i.2]&lt;/a&gt; ETSI TR 102 935 v2.1.1</w:t>
      </w:r>
    </w:p>
    <w:p>
      <w:pPr>
        <w:pStyle w:val="CodeChangeLine"/>
        <w:shd w:val="clear" w:color="auto" w:fill="ecfdf0"/>
      </w:pPr>
      <w:r>
        <w:t>&gt; Note: from &lt;a href="#_ref_i.2"&gt;[i.2]&lt;/a&gt; ETSI TR 102 935 v2.1.1</w:t>
      </w:r>
    </w:p>
    <w:p>
      <w:pPr>
        <w:pStyle w:val="CodeChangeLine"/>
      </w:pPr>
      <w:r/>
    </w:p>
    <w:p>
      <w:pPr>
        <w:pStyle w:val="CodeChangeLine"/>
      </w:pPr>
      <w:r/>
    </w:p>
    <w:p>
      <w:pPr>
        <w:pStyle w:val="CodeChangeLine"/>
      </w:pPr>
      <w:r>
        <w:t>### 9.3.3 Actors</w:t>
      </w:r>
    </w:p>
    <w:p>
      <w:pPr>
        <w:pStyle w:val="CodeHeader"/>
      </w:pPr>
      <w:r>
        <w:t>@@ -2941,6 +2909,7 @@ EVCE SP will control and manage EVCE through EVCE control link;</w:t>
      </w:r>
    </w:p>
    <w:p>
      <w:pPr>
        <w:pStyle w:val="CodeChangeLine"/>
      </w:pPr>
      <w:r/>
    </w:p>
    <w:p>
      <w:pPr>
        <w:pStyle w:val="CodeChangeLine"/>
      </w:pPr>
      <w:r/>
    </w:p>
    <w:p>
      <w:pPr>
        <w:pStyle w:val="CodeChangeLine"/>
      </w:pPr>
      <w:r>
        <w:t>### 9.3.6 Normal Flow</w:t>
      </w:r>
    </w:p>
    <w:p>
      <w:pPr>
        <w:pStyle w:val="CodeChangeLine"/>
        <w:shd w:val="clear" w:color="auto" w:fill="ecfdf0"/>
      </w:pPr>
      <w:r/>
    </w:p>
    <w:p>
      <w:pPr>
        <w:pStyle w:val="CodeChangeLine"/>
      </w:pPr>
      <w:r>
        <w:t>An example flow to show the interaction between PEV SP (PEV health check), PEV manufacturer (PEV defect part replacement) and EVC SP (metering/charging):</w:t>
      </w:r>
    </w:p>
    <w:p>
      <w:pPr>
        <w:pStyle w:val="CodeChangeLine"/>
      </w:pPr>
      <w:r/>
    </w:p>
    <w:p>
      <w:pPr>
        <w:pStyle w:val="CodeChangeLine"/>
      </w:pPr>
      <w:r>
        <w:t xml:space="preserve">- Red colour to refer to flow related to EVC charging application </w:t>
      </w:r>
    </w:p>
    <w:p>
      <w:pPr>
        <w:pStyle w:val="CodeHeader"/>
      </w:pPr>
      <w:r>
        <w:t>@@ -2975,7 +2944,7 @@ None</w:t>
      </w:r>
    </w:p>
    <w:p>
      <w:pPr>
        <w:pStyle w:val="CodeChangeLine"/>
      </w:pPr>
      <w:r/>
    </w:p>
    <w:p>
      <w:pPr>
        <w:pStyle w:val="CodeChangeLine"/>
      </w:pPr>
      <w:r>
        <w:t>### 9.3.8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9.3.9 High Level Illustration</w:t>
      </w:r>
    </w:p>
    <w:p>
      <w:pPr>
        <w:pStyle w:val="CodeHeader"/>
      </w:pPr>
      <w:r>
        <w:t>@@ -3077,7 +3046,7 @@ None</w:t>
      </w:r>
    </w:p>
    <w:p>
      <w:pPr>
        <w:pStyle w:val="CodeChangeLine"/>
      </w:pPr>
      <w:r/>
    </w:p>
    <w:p>
      <w:pPr>
        <w:pStyle w:val="CodeChangeLine"/>
      </w:pPr>
      <w:r>
        <w:t>### 9.4.8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9.4.9 High Level Illustration</w:t>
      </w:r>
    </w:p>
    <w:p>
      <w:pPr>
        <w:pStyle w:val="CodeHeader"/>
      </w:pPr>
      <w:r>
        <w:t>@@ -3234,7 +3203,7 @@ None</w:t>
      </w:r>
    </w:p>
    <w:p>
      <w:pPr>
        <w:pStyle w:val="CodeChangeLine"/>
      </w:pPr>
      <w:r/>
    </w:p>
    <w:p>
      <w:pPr>
        <w:pStyle w:val="CodeChangeLine"/>
      </w:pPr>
      <w:r>
        <w:t>### 9.6.8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9.6.9 High Level Illustration</w:t>
      </w:r>
    </w:p>
    <w:p>
      <w:pPr>
        <w:pStyle w:val="CodeHeader"/>
      </w:pPr>
      <w:r>
        <w:t>@@ -3293,7 +3262,7 @@ None</w:t>
      </w:r>
    </w:p>
    <w:p>
      <w:pPr>
        <w:pStyle w:val="CodeChangeLine"/>
      </w:pPr>
      <w:r/>
    </w:p>
    <w:p>
      <w:pPr>
        <w:pStyle w:val="CodeChangeLine"/>
      </w:pPr>
      <w:r>
        <w:t>### 9.7.8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9.7.9 High Level Illustration</w:t>
      </w:r>
    </w:p>
    <w:p>
      <w:pPr>
        <w:pStyle w:val="CodeHeader"/>
      </w:pPr>
      <w:r>
        <w:t>@@ -3311,7 +3280,7 @@ None</w:t>
      </w:r>
    </w:p>
    <w:p>
      <w:pPr>
        <w:pStyle w:val="CodeChangeLine"/>
      </w:pPr>
      <w:r/>
    </w:p>
    <w:p>
      <w:pPr>
        <w:pStyle w:val="CodeChangeLine"/>
      </w:pPr>
      <w:r>
        <w:t>## 9.8 Triggering in the Field Domain</w:t>
      </w:r>
    </w:p>
    <w:p>
      <w:pPr>
        <w:pStyle w:val="CodeChangeLine"/>
      </w:pPr>
      <w:r/>
    </w:p>
    <w:p>
      <w:pPr>
        <w:pStyle w:val="CodeChangeLine"/>
        <w:shd w:val="clear" w:color="auto" w:fill="fbe9eb"/>
      </w:pPr>
      <w:r>
        <w:t xml:space="preserve">\-void - </w:t>
      </w:r>
    </w:p>
    <w:p>
      <w:pPr>
        <w:pStyle w:val="CodeChangeLine"/>
        <w:shd w:val="clear" w:color="auto" w:fill="ecfdf0"/>
      </w:pPr>
      <w:r>
        <w:t>Void</w:t>
      </w:r>
    </w:p>
    <w:p>
      <w:pPr>
        <w:pStyle w:val="CodeChangeLine"/>
      </w:pPr>
      <w:r/>
    </w:p>
    <w:p>
      <w:pPr>
        <w:pStyle w:val="CodeChangeLine"/>
      </w:pPr>
      <w:r>
        <w:t>&gt; Note: This use case  can be found in TR-0013 &lt;a href="#_ref_i.17"&gt;[i.17]&lt;/a&gt;</w:t>
      </w:r>
    </w:p>
    <w:p>
      <w:pPr>
        <w:pStyle w:val="CodeChangeLine"/>
      </w:pPr>
      <w:r/>
    </w:p>
    <w:p>
      <w:pPr>
        <w:pStyle w:val="CodeHeader"/>
      </w:pPr>
      <w:r>
        <w:t>@@ -3337,12 +3306,12 @@ IoT Device(s), Gateway, device manufacturer, and Operator (Internet Service Prov</w:t>
      </w:r>
    </w:p>
    <w:p>
      <w:pPr>
        <w:pStyle w:val="CodeChangeLine"/>
      </w:pPr>
      <w:r/>
    </w:p>
    <w:p>
      <w:pPr>
        <w:pStyle w:val="CodeChangeLine"/>
      </w:pPr>
      <w:r>
        <w:t>### 9.9.4 Pre-conditions</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9.9.5 Triggers</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9.9.6 Normal Flow</w:t>
      </w:r>
    </w:p>
    <w:p>
      <w:pPr>
        <w:pStyle w:val="CodeHeader"/>
      </w:pPr>
      <w:r>
        <w:t>@@ -3391,7 +3360,7 @@ The figure below depicts high architecture. Herafter, the high level desctiption</w:t>
      </w:r>
    </w:p>
    <w:p>
      <w:pPr>
        <w:pStyle w:val="CodeChangeLine"/>
      </w:pPr>
      <w:r>
        <w:t>- The M2M System shall be able to trigger the secure (e.g. authenticity, integrity, and confidentiality protected) Firmware/Software update of field devices.</w:t>
      </w:r>
    </w:p>
    <w:p>
      <w:pPr>
        <w:pStyle w:val="CodeChangeLine"/>
      </w:pPr>
      <w:r/>
    </w:p>
    <w:p>
      <w:pPr>
        <w:pStyle w:val="CodeChangeLine"/>
      </w:pPr>
      <w:r/>
    </w:p>
    <w:p>
      <w:pPr>
        <w:pStyle w:val="CodeChangeLine"/>
        <w:shd w:val="clear" w:color="auto" w:fill="fbe9eb"/>
      </w:pPr>
      <w:r>
        <w:t>## 9.19 Use case for Disguise Data for Security and Privacy</w:t>
      </w:r>
    </w:p>
    <w:p>
      <w:pPr>
        <w:pStyle w:val="CodeChangeLine"/>
        <w:shd w:val="clear" w:color="auto" w:fill="ecfdf0"/>
      </w:pPr>
      <w:r>
        <w:t>## 9.10 Use case for Disguise Data for Security and Privacy</w:t>
      </w:r>
    </w:p>
    <w:p>
      <w:pPr>
        <w:pStyle w:val="CodeChangeLine"/>
      </w:pPr>
      <w:r/>
    </w:p>
    <w:p>
      <w:pPr>
        <w:pStyle w:val="CodeChangeLine"/>
      </w:pPr>
      <w:r>
        <w:t>### 9.10.1 Description</w:t>
      </w:r>
    </w:p>
    <w:p>
      <w:pPr>
        <w:pStyle w:val="CodeChangeLine"/>
      </w:pPr>
      <w:r/>
    </w:p>
    <w:p>
      <w:pPr>
        <w:pStyle w:val="CodeHeader"/>
      </w:pPr>
      <w:r>
        <w:t>@@ -3506,7 +3475,7 @@ None</w:t>
      </w:r>
    </w:p>
    <w:p>
      <w:pPr>
        <w:pStyle w:val="CodeChangeLine"/>
      </w:pPr>
      <w:r/>
    </w:p>
    <w:p>
      <w:pPr>
        <w:pStyle w:val="CodeChangeLine"/>
      </w:pPr>
      <w:r>
        <w:t>### 10.1.8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10.1.9 High Level Illustration</w:t>
      </w:r>
    </w:p>
    <w:p>
      <w:pPr>
        <w:pStyle w:val="CodeHeader"/>
      </w:pPr>
      <w:r>
        <w:t>@@ -3526,7 +3495,7 @@ Not applicable</w:t>
      </w:r>
    </w:p>
    <w:p>
      <w:pPr>
        <w:pStyle w:val="CodeChangeLine"/>
      </w:pPr>
      <w:r/>
    </w:p>
    <w:p>
      <w:pPr>
        <w:pStyle w:val="CodeChangeLine"/>
      </w:pPr>
      <w:r>
        <w:t>## 11.1 Vehicle Diagnostic &amp; Maintenance Report</w:t>
      </w:r>
    </w:p>
    <w:p>
      <w:pPr>
        <w:pStyle w:val="CodeChangeLine"/>
      </w:pPr>
      <w:r/>
    </w:p>
    <w:p>
      <w:pPr>
        <w:pStyle w:val="CodeChangeLine"/>
        <w:shd w:val="clear" w:color="auto" w:fill="fbe9eb"/>
      </w:pPr>
      <w:r>
        <w:t>\-void-</w:t>
      </w:r>
    </w:p>
    <w:p>
      <w:pPr>
        <w:pStyle w:val="CodeChangeLine"/>
        <w:shd w:val="clear" w:color="auto" w:fill="ecfdf0"/>
      </w:pPr>
      <w:r>
        <w:t>Void</w:t>
      </w:r>
    </w:p>
    <w:p>
      <w:pPr>
        <w:pStyle w:val="CodeChangeLine"/>
      </w:pPr>
      <w:r/>
    </w:p>
    <w:p>
      <w:pPr>
        <w:pStyle w:val="CodeChangeLine"/>
      </w:pPr>
      <w:r>
        <w:t>&gt;Note: This use case can be found in TR-0026 &lt;a href="#_ref_i.20"&gt;[i.20]&lt;/a&gt;.</w:t>
      </w:r>
    </w:p>
    <w:p>
      <w:pPr>
        <w:pStyle w:val="CodeChangeLine"/>
      </w:pPr>
      <w:r/>
    </w:p>
    <w:p>
      <w:pPr>
        <w:pStyle w:val="CodeHeader"/>
      </w:pPr>
      <w:r>
        <w:t>@@ -3535,7 +3504,7 @@ Source: oneM2M-REQ-2012-0067R03 Vehicle Stolen and Vehicle Diagnostics</w:t>
      </w:r>
    </w:p>
    <w:p>
      <w:pPr>
        <w:pStyle w:val="CodeChangeLine"/>
      </w:pPr>
      <w:r/>
    </w:p>
    <w:p>
      <w:pPr>
        <w:pStyle w:val="CodeChangeLine"/>
      </w:pPr>
      <w:r>
        <w:t>## 11.2 Remote Maintenance Services</w:t>
      </w:r>
    </w:p>
    <w:p>
      <w:pPr>
        <w:pStyle w:val="CodeChangeLine"/>
      </w:pPr>
      <w:r/>
    </w:p>
    <w:p>
      <w:pPr>
        <w:pStyle w:val="CodeChangeLine"/>
        <w:shd w:val="clear" w:color="auto" w:fill="fbe9eb"/>
      </w:pPr>
      <w:r>
        <w:t>\-void-</w:t>
      </w:r>
    </w:p>
    <w:p>
      <w:pPr>
        <w:pStyle w:val="CodeChangeLine"/>
        <w:shd w:val="clear" w:color="auto" w:fill="ecfdf0"/>
      </w:pPr>
      <w:r>
        <w:t>Void</w:t>
      </w:r>
    </w:p>
    <w:p>
      <w:pPr>
        <w:pStyle w:val="CodeChangeLine"/>
      </w:pPr>
      <w:r/>
    </w:p>
    <w:p>
      <w:pPr>
        <w:pStyle w:val="CodeChangeLine"/>
      </w:pPr>
      <w:r>
        <w:t>&gt;Note: This use case can be found in TR-0026 &lt;a href="#_ref_i.20"&gt;[i.20]&lt;/a&gt;.</w:t>
      </w:r>
    </w:p>
    <w:p>
      <w:pPr>
        <w:pStyle w:val="CodeChangeLine"/>
      </w:pPr>
      <w:r/>
    </w:p>
    <w:p>
      <w:pPr>
        <w:pStyle w:val="CodeHeader"/>
      </w:pPr>
      <w:r>
        <w:t>@@ -3544,7 +3513,7 @@ Source: oneM2M-REQ-2013-0188R06 Use Case Remote Maintenance</w:t>
      </w:r>
    </w:p>
    <w:p>
      <w:pPr>
        <w:pStyle w:val="CodeChangeLine"/>
      </w:pPr>
      <w:r/>
    </w:p>
    <w:p>
      <w:pPr>
        <w:pStyle w:val="CodeChangeLine"/>
      </w:pPr>
      <w:r>
        <w:t>## 11.3 Traffic Accident Information Collection</w:t>
      </w:r>
    </w:p>
    <w:p>
      <w:pPr>
        <w:pStyle w:val="CodeChangeLine"/>
      </w:pPr>
      <w:r/>
    </w:p>
    <w:p>
      <w:pPr>
        <w:pStyle w:val="CodeChangeLine"/>
        <w:shd w:val="clear" w:color="auto" w:fill="fbe9eb"/>
      </w:pPr>
      <w:r>
        <w:t>\-void-</w:t>
      </w:r>
    </w:p>
    <w:p>
      <w:pPr>
        <w:pStyle w:val="CodeChangeLine"/>
        <w:shd w:val="clear" w:color="auto" w:fill="ecfdf0"/>
      </w:pPr>
      <w:r>
        <w:t>Void</w:t>
      </w:r>
    </w:p>
    <w:p>
      <w:pPr>
        <w:pStyle w:val="CodeChangeLine"/>
      </w:pPr>
      <w:r/>
    </w:p>
    <w:p>
      <w:pPr>
        <w:pStyle w:val="CodeChangeLine"/>
      </w:pPr>
      <w:r>
        <w:t>&gt;Note: This use case can be found in TR-0026 &lt;a href="#_ref_i.20"&gt;[i.20]&lt;/a&gt;.</w:t>
      </w:r>
    </w:p>
    <w:p>
      <w:pPr>
        <w:pStyle w:val="CodeChangeLine"/>
      </w:pPr>
      <w:r/>
    </w:p>
    <w:p>
      <w:pPr>
        <w:pStyle w:val="CodeHeader"/>
      </w:pPr>
      <w:r>
        <w:t>@@ -3555,7 +3524,7 @@ Source: oneM2M-REQ-2013-0264R05 Use Case Traffic Accident Information Collection</w:t>
      </w:r>
    </w:p>
    <w:p>
      <w:pPr>
        <w:pStyle w:val="CodeChangeLine"/>
      </w:pPr>
      <w:r/>
    </w:p>
    <w:p>
      <w:pPr>
        <w:pStyle w:val="CodeChangeLine"/>
      </w:pPr>
      <w:r>
        <w:t>## 11.4 Fleet Management Service using DTG (Digital Tachograph)</w:t>
      </w:r>
    </w:p>
    <w:p>
      <w:pPr>
        <w:pStyle w:val="CodeChangeLine"/>
      </w:pPr>
      <w:r/>
    </w:p>
    <w:p>
      <w:pPr>
        <w:pStyle w:val="CodeChangeLine"/>
        <w:shd w:val="clear" w:color="auto" w:fill="fbe9eb"/>
      </w:pPr>
      <w:r>
        <w:t>\-void-</w:t>
      </w:r>
    </w:p>
    <w:p>
      <w:pPr>
        <w:pStyle w:val="CodeChangeLine"/>
        <w:shd w:val="clear" w:color="auto" w:fill="ecfdf0"/>
      </w:pPr>
      <w:r>
        <w:t>Void</w:t>
      </w:r>
    </w:p>
    <w:p>
      <w:pPr>
        <w:pStyle w:val="CodeChangeLine"/>
      </w:pPr>
      <w:r/>
    </w:p>
    <w:p>
      <w:pPr>
        <w:pStyle w:val="CodeChangeLine"/>
      </w:pPr>
      <w:r>
        <w:t>&gt;Note: This use case can be found in TR-0026 &lt;a href="#_ref_i.20"&gt;[i.20]&lt;/a&gt;.</w:t>
      </w:r>
    </w:p>
    <w:p>
      <w:pPr>
        <w:pStyle w:val="CodeChangeLine"/>
      </w:pPr>
      <w:r/>
    </w:p>
    <w:p>
      <w:pPr>
        <w:pStyle w:val="CodeHeader"/>
      </w:pPr>
      <w:r>
        <w:t>@@ -3564,7 +3533,7 @@ Source: oneM2M-REQ-2013-0219R01 Use case - Fleet management using DTG</w:t>
      </w:r>
    </w:p>
    <w:p>
      <w:pPr>
        <w:pStyle w:val="CodeChangeLine"/>
      </w:pPr>
      <w:r/>
    </w:p>
    <w:p>
      <w:pPr>
        <w:pStyle w:val="CodeChangeLine"/>
      </w:pPr>
      <w:r>
        <w:t>## 11.5 Electronic Toll Collection (ETC) Service</w:t>
      </w:r>
    </w:p>
    <w:p>
      <w:pPr>
        <w:pStyle w:val="CodeChangeLine"/>
      </w:pPr>
      <w:r/>
    </w:p>
    <w:p>
      <w:pPr>
        <w:pStyle w:val="CodeChangeLine"/>
        <w:shd w:val="clear" w:color="auto" w:fill="fbe9eb"/>
      </w:pPr>
      <w:r>
        <w:t>\-void-</w:t>
      </w:r>
    </w:p>
    <w:p>
      <w:pPr>
        <w:pStyle w:val="CodeChangeLine"/>
        <w:shd w:val="clear" w:color="auto" w:fill="ecfdf0"/>
      </w:pPr>
      <w:r>
        <w:t>Void</w:t>
      </w:r>
    </w:p>
    <w:p>
      <w:pPr>
        <w:pStyle w:val="CodeChangeLine"/>
      </w:pPr>
      <w:r/>
    </w:p>
    <w:p>
      <w:pPr>
        <w:pStyle w:val="CodeChangeLine"/>
      </w:pPr>
      <w:r>
        <w:t>&gt;Note: This use case can be found in TR-0026 &lt;a href="#_ref_i.20"&gt;[i.20]&lt;/a&gt;.</w:t>
      </w:r>
    </w:p>
    <w:p>
      <w:pPr>
        <w:pStyle w:val="CodeChangeLine"/>
      </w:pPr>
      <w:r/>
    </w:p>
    <w:p>
      <w:pPr>
        <w:pStyle w:val="CodeHeader"/>
      </w:pPr>
      <w:r>
        <w:t>@@ -3576,7 +3545,7 @@ REQ-2014-0449R02 Use cases for Electronic Toll Collection (ETC) service</w:t>
      </w:r>
    </w:p>
    <w:p>
      <w:pPr>
        <w:pStyle w:val="CodeChangeLine"/>
      </w:pPr>
      <w:r/>
    </w:p>
    <w:p>
      <w:pPr>
        <w:pStyle w:val="CodeChangeLine"/>
      </w:pPr>
      <w:r>
        <w:t>## 11.6 Taxi Advertisement service</w:t>
      </w:r>
    </w:p>
    <w:p>
      <w:pPr>
        <w:pStyle w:val="CodeChangeLine"/>
      </w:pPr>
      <w:r/>
    </w:p>
    <w:p>
      <w:pPr>
        <w:pStyle w:val="CodeChangeLine"/>
        <w:shd w:val="clear" w:color="auto" w:fill="fbe9eb"/>
      </w:pPr>
      <w:r>
        <w:t>\-void-</w:t>
      </w:r>
    </w:p>
    <w:p>
      <w:pPr>
        <w:pStyle w:val="CodeChangeLine"/>
        <w:shd w:val="clear" w:color="auto" w:fill="ecfdf0"/>
      </w:pPr>
      <w:r>
        <w:t>Void</w:t>
      </w:r>
    </w:p>
    <w:p>
      <w:pPr>
        <w:pStyle w:val="CodeChangeLine"/>
      </w:pPr>
      <w:r/>
    </w:p>
    <w:p>
      <w:pPr>
        <w:pStyle w:val="CodeChangeLine"/>
      </w:pPr>
      <w:r>
        <w:t>&gt;Note: This use case can be found in TR-0026 &lt;a href="#_ref_i.20"&gt;[i.20]&lt;/a&gt;.</w:t>
      </w:r>
    </w:p>
    <w:p>
      <w:pPr>
        <w:pStyle w:val="CodeChangeLine"/>
      </w:pPr>
      <w:r/>
    </w:p>
    <w:p>
      <w:pPr>
        <w:pStyle w:val="CodeHeader"/>
      </w:pPr>
      <w:r>
        <w:t>@@ -3585,7 +3554,7 @@ Source: REQ-2014-0467R02 Use case for taxi advertisement</w:t>
      </w:r>
    </w:p>
    <w:p>
      <w:pPr>
        <w:pStyle w:val="CodeChangeLine"/>
      </w:pPr>
      <w:r/>
    </w:p>
    <w:p>
      <w:pPr>
        <w:pStyle w:val="CodeChangeLine"/>
      </w:pPr>
      <w:r>
        <w:t>## 11.7 Vehicle Data Service</w:t>
      </w:r>
    </w:p>
    <w:p>
      <w:pPr>
        <w:pStyle w:val="CodeChangeLine"/>
      </w:pPr>
      <w:r/>
    </w:p>
    <w:p>
      <w:pPr>
        <w:pStyle w:val="CodeChangeLine"/>
        <w:shd w:val="clear" w:color="auto" w:fill="fbe9eb"/>
      </w:pPr>
      <w:r>
        <w:t>\-void-</w:t>
      </w:r>
    </w:p>
    <w:p>
      <w:pPr>
        <w:pStyle w:val="CodeChangeLine"/>
        <w:shd w:val="clear" w:color="auto" w:fill="ecfdf0"/>
      </w:pPr>
      <w:r>
        <w:t>Void</w:t>
      </w:r>
    </w:p>
    <w:p>
      <w:pPr>
        <w:pStyle w:val="CodeChangeLine"/>
      </w:pPr>
      <w:r/>
    </w:p>
    <w:p>
      <w:pPr>
        <w:pStyle w:val="CodeChangeLine"/>
      </w:pPr>
      <w:r>
        <w:t>&gt;Note: This use case can be found in TR-0026 &lt;a href="#_ref_i.20"&gt;[i.20]&lt;/a&gt;.</w:t>
      </w:r>
    </w:p>
    <w:p>
      <w:pPr>
        <w:pStyle w:val="CodeChangeLine"/>
      </w:pPr>
      <w:r/>
    </w:p>
    <w:p>
      <w:pPr>
        <w:pStyle w:val="CodeHeader"/>
      </w:pPr>
      <w:r>
        <w:t>@@ -3594,7 +3563,7 @@ Source: REQ-2014-0472R06 Use Case on Vehicle Data Services</w:t>
      </w:r>
    </w:p>
    <w:p>
      <w:pPr>
        <w:pStyle w:val="CodeChangeLine"/>
      </w:pPr>
      <w:r/>
    </w:p>
    <w:p>
      <w:pPr>
        <w:pStyle w:val="CodeChangeLine"/>
      </w:pPr>
      <w:r>
        <w:t>## 11.8 Smart Automatic Driving</w:t>
      </w:r>
    </w:p>
    <w:p>
      <w:pPr>
        <w:pStyle w:val="CodeChangeLine"/>
      </w:pPr>
      <w:r/>
    </w:p>
    <w:p>
      <w:pPr>
        <w:pStyle w:val="CodeChangeLine"/>
        <w:shd w:val="clear" w:color="auto" w:fill="fbe9eb"/>
      </w:pPr>
      <w:r>
        <w:t>\-void-</w:t>
      </w:r>
    </w:p>
    <w:p>
      <w:pPr>
        <w:pStyle w:val="CodeChangeLine"/>
        <w:shd w:val="clear" w:color="auto" w:fill="ecfdf0"/>
      </w:pPr>
      <w:r>
        <w:t>Void</w:t>
      </w:r>
    </w:p>
    <w:p>
      <w:pPr>
        <w:pStyle w:val="CodeChangeLine"/>
      </w:pPr>
      <w:r/>
    </w:p>
    <w:p>
      <w:pPr>
        <w:pStyle w:val="CodeChangeLine"/>
      </w:pPr>
      <w:r>
        <w:t>&gt;Note: This use case can be found in TR-0026 &lt;a href="#_ref_i.20"&gt;[i.20]&lt;/a&gt;.</w:t>
      </w:r>
    </w:p>
    <w:p>
      <w:pPr>
        <w:pStyle w:val="CodeChangeLine"/>
      </w:pPr>
      <w:r/>
    </w:p>
    <w:p>
      <w:pPr>
        <w:pStyle w:val="CodeHeader"/>
      </w:pPr>
      <w:r>
        <w:t>@@ -3603,7 +3572,7 @@ Source: REQ-2015-0554-Smart Automatic Driving</w:t>
      </w:r>
    </w:p>
    <w:p>
      <w:pPr>
        <w:pStyle w:val="CodeChangeLine"/>
      </w:pPr>
      <w:r/>
    </w:p>
    <w:p>
      <w:pPr>
        <w:pStyle w:val="CodeChangeLine"/>
      </w:pPr>
      <w:r>
        <w:t>## 11.9 Vehicle Data Wipe Service</w:t>
      </w:r>
    </w:p>
    <w:p>
      <w:pPr>
        <w:pStyle w:val="CodeChangeLine"/>
      </w:pPr>
      <w:r/>
    </w:p>
    <w:p>
      <w:pPr>
        <w:pStyle w:val="CodeChangeLine"/>
        <w:shd w:val="clear" w:color="auto" w:fill="fbe9eb"/>
      </w:pPr>
      <w:r>
        <w:t>\-void-</w:t>
      </w:r>
    </w:p>
    <w:p>
      <w:pPr>
        <w:pStyle w:val="CodeChangeLine"/>
        <w:shd w:val="clear" w:color="auto" w:fill="ecfdf0"/>
      </w:pPr>
      <w:r>
        <w:t>Void</w:t>
      </w:r>
    </w:p>
    <w:p>
      <w:pPr>
        <w:pStyle w:val="CodeChangeLine"/>
      </w:pPr>
      <w:r/>
    </w:p>
    <w:p>
      <w:pPr>
        <w:pStyle w:val="CodeChangeLine"/>
      </w:pPr>
      <w:r>
        <w:t>&gt;Note: This use case can be found in TR-0026 &lt;a href="#_ref_i.20"&gt;[i.20]&lt;/a&gt;.</w:t>
      </w:r>
    </w:p>
    <w:p>
      <w:pPr>
        <w:pStyle w:val="CodeChangeLine"/>
      </w:pPr>
      <w:r/>
    </w:p>
    <w:p>
      <w:pPr>
        <w:pStyle w:val="CodeHeader"/>
      </w:pPr>
      <w:r>
        <w:t>@@ -3654,9 +3623,7 @@ The need to access M2M user devices (UDs) that may not be reachable with terrest</w:t>
      </w:r>
    </w:p>
    <w:p>
      <w:pPr>
        <w:pStyle w:val="CodeChangeLine"/>
      </w:pPr>
      <w:r/>
    </w:p>
    <w:p>
      <w:pPr>
        <w:pStyle w:val="CodeChangeLine"/>
      </w:pPr>
      <w:r>
        <w:t>### 12.1.6 Normal Flow</w:t>
      </w:r>
    </w:p>
    <w:p>
      <w:pPr>
        <w:pStyle w:val="CodeChangeLine"/>
      </w:pPr>
      <w:r/>
    </w:p>
    <w:p>
      <w:pPr>
        <w:pStyle w:val="CodeChangeLine"/>
        <w:shd w:val="clear" w:color="auto" w:fill="fbe9eb"/>
      </w:pPr>
      <w:r>
        <w:t>&lt;mark&gt;Editor note: Figure refernce is wrong&lt;/mark&gt;</w:t>
      </w:r>
    </w:p>
    <w:p>
      <w:pPr>
        <w:pStyle w:val="CodeChangeLine"/>
        <w:shd w:val="clear" w:color="auto" w:fill="fbe9eb"/>
      </w:pPr>
      <w:r/>
    </w:p>
    <w:p>
      <w:pPr>
        <w:pStyle w:val="CodeChangeLine"/>
        <w:shd w:val="clear" w:color="auto" w:fill="fbe9eb"/>
      </w:pPr>
      <w:r>
        <w:t>An example of a M2M communication using satellite service is Smart Metering (valves, electricity meter, gas meter, water meter, and heat meter). Smart Metering devices over a small area connect to aggregation points or Smart Meter Concentrators via a local, meshed wireless network. These aggregation points, or concentrators, collect usage data and distribute control data to and from consumers in a limited geographical area, transmitting it back to the utility's data centre (**Figure 12-1** ).</w:t>
      </w:r>
    </w:p>
    <w:p>
      <w:pPr>
        <w:pStyle w:val="CodeChangeLine"/>
        <w:shd w:val="clear" w:color="auto" w:fill="ecfdf0"/>
      </w:pPr>
      <w:r>
        <w:t>An example of a M2M communication using satellite service is Smart Metering (valves, electricity meter, gas meter, water meter, and heat meter). Smart Metering devices over a small area connect to aggregation points or Smart Meter Concentrators via a local, meshed wireless network. These aggregation points, or concentrators, collect usage data and distribute control data to and from consumers in a limited geographical area, transmitting it back to the utility's data centre (Figure 12.1.9-1 ).</w:t>
      </w:r>
    </w:p>
    <w:p>
      <w:pPr>
        <w:pStyle w:val="CodeChangeLine"/>
      </w:pPr>
      <w:r/>
    </w:p>
    <w:p>
      <w:pPr>
        <w:pStyle w:val="CodeChangeLine"/>
      </w:pPr>
      <w:r>
        <w:t>The satellite connectivity backhauls Smart Meter data from a satellite antenna mounted on an Advanced Metering Infrastructure (AMI) concentrator to the utility's data centre. Each AMI concentrator links to multiple smart meters via a local wireless network.</w:t>
      </w:r>
    </w:p>
    <w:p>
      <w:pPr>
        <w:pStyle w:val="CodeChangeLine"/>
      </w:pPr>
      <w:r/>
    </w:p>
    <w:p>
      <w:pPr>
        <w:pStyle w:val="CodeHeader"/>
      </w:pPr>
      <w:r>
        <w:t>@@ -3670,7 +3637,7 @@ None</w:t>
      </w:r>
    </w:p>
    <w:p>
      <w:pPr>
        <w:pStyle w:val="CodeChangeLine"/>
      </w:pPr>
      <w:r/>
    </w:p>
    <w:p>
      <w:pPr>
        <w:pStyle w:val="CodeChangeLine"/>
      </w:pPr>
      <w:r>
        <w:t>### 12.1.8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12.1.9 High Level Illustration</w:t>
      </w:r>
    </w:p>
    <w:p>
      <w:pPr>
        <w:pStyle w:val="CodeHeader"/>
      </w:pPr>
      <w:r>
        <w:t>@@ -3756,7 +3723,7 @@ None</w:t>
      </w:r>
    </w:p>
    <w:p>
      <w:pPr>
        <w:pStyle w:val="CodeChangeLine"/>
      </w:pPr>
      <w:r/>
    </w:p>
    <w:p>
      <w:pPr>
        <w:pStyle w:val="CodeChangeLine"/>
      </w:pPr>
      <w:r>
        <w:t>### 12.2.8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12.2.9 High Level Illustration</w:t>
      </w:r>
    </w:p>
    <w:p>
      <w:pPr>
        <w:pStyle w:val="CodeHeader"/>
      </w:pPr>
      <w:r>
        <w:t>@@ -4239,7 +4206,7 @@ None</w:t>
      </w:r>
    </w:p>
    <w:p>
      <w:pPr>
        <w:pStyle w:val="CodeChangeLine"/>
      </w:pPr>
      <w:r/>
    </w:p>
    <w:p>
      <w:pPr>
        <w:pStyle w:val="CodeChangeLine"/>
      </w:pPr>
      <w:r>
        <w:t>### 12.6.8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12.6.9 High Level Illustration</w:t>
      </w:r>
    </w:p>
    <w:p>
      <w:pPr>
        <w:pStyle w:val="CodeHeader"/>
      </w:pPr>
      <w:r>
        <w:t>@@ -4280,7 +4247,7 @@ This use case illustrates that an automotive telematics (Application) service pr</w:t>
      </w:r>
    </w:p>
    <w:p>
      <w:pPr>
        <w:pStyle w:val="CodeChangeLine"/>
      </w:pPr>
      <w:r/>
    </w:p>
    <w:p>
      <w:pPr>
        <w:pStyle w:val="CodeChangeLine"/>
      </w:pPr>
      <w:r>
        <w:t>In this case, the automotive telematics service provider XYZ Ltd. takes advantage of broadcasting/multicasting capability of underlying communication networks.  Some kinds of communication networks (in particular, a mobile communication network) have the capability to broadcast/multicast a message in specific areas.  Utilizing this capability, XYZ Ltd. can alert at once all the relevant vehicles within a specific region.  This approach can avoid burst traffic in the communication network and provides a simple and cost-efficient way for XYZ Ltd. to implement this neighbourhood alerting mechanism.</w:t>
      </w:r>
    </w:p>
    <w:p>
      <w:pPr>
        <w:pStyle w:val="CodeChangeLine"/>
      </w:pPr>
      <w:r/>
    </w:p>
    <w:p>
      <w:pPr>
        <w:pStyle w:val="CodeChangeLine"/>
        <w:shd w:val="clear" w:color="auto" w:fill="fbe9eb"/>
      </w:pPr>
      <w:r>
        <w:t>Note: Ordinary unicast messaging mechanism is inadequate here.  The alert messages shall be delivered in a timely manner to all the relevant vehicles within a specific region.  XYZ Ltd. therefore needs to select the relevant vehicles that should receive the alert messages according to their current registered location (It needs continuous location management of vehicles).  Moreover the underlying communication network has to route large number of unicast messages with very short delay.</w:t>
      </w:r>
    </w:p>
    <w:p>
      <w:pPr>
        <w:pStyle w:val="CodeChangeLine"/>
        <w:shd w:val="clear" w:color="auto" w:fill="ecfdf0"/>
      </w:pPr>
      <w:r>
        <w:t>&gt;Note: Ordinary unicast messaging mechanism is inadequate here. The alert messages shall be delivered in a timely manner to all the relevant vehicles within a specific region. XYZ Ltd. therefore needs to select the relevant vehicles that should receive the alert messages according to their current registered location (It needs continuous location management of vehicles).  Moreover the underlying communication network has to route large number of unicast messages with very short delay.</w:t>
      </w:r>
    </w:p>
    <w:p>
      <w:pPr>
        <w:pStyle w:val="CodeChangeLine"/>
      </w:pPr>
      <w:r/>
    </w:p>
    <w:p>
      <w:pPr>
        <w:pStyle w:val="CodeChangeLine"/>
      </w:pPr>
      <w:r>
        <w:t xml:space="preserve">However it is hard for XYZ Ltd. to utilize broadcasting/multicasting functionality of underlying networks directly which can vary with kinds of communication networks (e.g. 3GPP, 3GPP2, WiMAX or Wi-Fi).  </w:t>
      </w:r>
    </w:p>
    <w:p>
      <w:pPr>
        <w:pStyle w:val="CodeChangeLine"/>
      </w:pPr>
      <w:r/>
    </w:p>
    <w:p>
      <w:pPr>
        <w:pStyle w:val="CodeHeader"/>
      </w:pPr>
      <w:r>
        <w:t>@@ -4514,7 +4481,7 @@ None</w:t>
      </w:r>
    </w:p>
    <w:p>
      <w:pPr>
        <w:pStyle w:val="CodeChangeLine"/>
      </w:pPr>
      <w:r/>
    </w:p>
    <w:p>
      <w:pPr>
        <w:pStyle w:val="CodeChangeLine"/>
      </w:pPr>
      <w:r>
        <w:t>### 12.8.8 Post-conditions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12.8.9 High Level Illustration</w:t>
      </w:r>
    </w:p>
    <w:p>
      <w:pPr>
        <w:pStyle w:val="CodeHeader"/>
      </w:pPr>
      <w:r>
        <w:t>@@ -4721,7 +4688,7 @@ When the user intends to reuse the M2M device, network service activation reques</w:t>
      </w:r>
    </w:p>
    <w:p>
      <w:pPr>
        <w:pStyle w:val="CodeChangeLine"/>
      </w:pPr>
      <w:r/>
    </w:p>
    <w:p>
      <w:pPr>
        <w:pStyle w:val="CodeChangeLine"/>
      </w:pPr>
      <w:r>
        <w:t>### 12.10.7 Alternative Flow</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12.10.8 Post-conditions</w:t>
      </w:r>
    </w:p>
    <w:p>
      <w:pPr>
        <w:pStyle w:val="CodeHeader"/>
      </w:pPr>
      <w:r>
        <w:t>@@ -4732,12 +4699,9 @@ The M2M device can send / receive M2M traffic if the network service module is a</w:t>
      </w:r>
    </w:p>
    <w:p>
      <w:pPr>
        <w:pStyle w:val="CodeChangeLine"/>
      </w:pPr>
      <w:r>
        <w:t xml:space="preserve">**Trigger B:**  </w:t>
      </w:r>
    </w:p>
    <w:p>
      <w:pPr>
        <w:pStyle w:val="CodeChangeLine"/>
      </w:pPr>
      <w:r>
        <w:t>The M2M device cannot send / receive M2M traffic but may be able to exchange signalling with M2M platform if the network service module is deactivated successfully according to network deactivation request.</w:t>
      </w:r>
    </w:p>
    <w:p>
      <w:pPr>
        <w:pStyle w:val="CodeChangeLine"/>
      </w:pPr>
      <w:r/>
    </w:p>
    <w:p>
      <w:pPr>
        <w:pStyle w:val="CodeChangeLine"/>
        <w:shd w:val="clear" w:color="auto" w:fill="fbe9eb"/>
      </w:pPr>
      <w:r/>
    </w:p>
    <w:p>
      <w:pPr>
        <w:pStyle w:val="CodeChangeLine"/>
      </w:pPr>
      <w:r>
        <w:t>### 12.10.9 High Level Illustration</w:t>
      </w:r>
    </w:p>
    <w:p>
      <w:pPr>
        <w:pStyle w:val="CodeChangeLine"/>
      </w:pPr>
      <w:r/>
    </w:p>
    <w:p>
      <w:pPr>
        <w:pStyle w:val="CodeChangeLine"/>
        <w:shd w:val="clear" w:color="auto" w:fill="fbe9eb"/>
      </w:pPr>
      <w:r>
        <w:t>&lt;mark&gt;Editor note: The figure references are wrong&lt;/mark&gt;</w:t>
      </w:r>
    </w:p>
    <w:p>
      <w:pPr>
        <w:pStyle w:val="CodeChangeLine"/>
        <w:shd w:val="clear" w:color="auto" w:fill="fbe9eb"/>
      </w:pPr>
      <w:r/>
    </w:p>
    <w:p>
      <w:pPr>
        <w:pStyle w:val="CodeChangeLine"/>
        <w:shd w:val="clear" w:color="auto" w:fill="fbe9eb"/>
      </w:pPr>
      <w:r>
        <w:t xml:space="preserve">Fig. 11-22 and Fig. 11-23 describe the normal flow of this use case for Trigger A and Trigger 2 from high level aspect. </w:t>
      </w:r>
    </w:p>
    <w:p>
      <w:pPr>
        <w:pStyle w:val="CodeChangeLine"/>
        <w:shd w:val="clear" w:color="auto" w:fill="ecfdf0"/>
      </w:pPr>
      <w:r>
        <w:t xml:space="preserve">Fig. 12.10.9-1 and Fig. 12.10.9-2 describe the normal flow of this use case for Trigger A and Trigger 2 from high level aspect. </w:t>
      </w:r>
    </w:p>
    <w:p>
      <w:pPr>
        <w:pStyle w:val="CodeChangeLine"/>
      </w:pPr>
      <w:r/>
    </w:p>
    <w:p>
      <w:pPr>
        <w:pStyle w:val="CodeChangeLine"/>
      </w:pPr>
      <w:r>
        <w:t>![Figure 12.10.9-1 Normal flow description for Trigger A](media/12_10_9_1.png)</w:t>
      </w:r>
    </w:p>
    <w:p>
      <w:pPr>
        <w:pStyle w:val="CodeChangeLine"/>
      </w:pPr>
      <w:r/>
    </w:p>
    <w:p>
      <w:pPr>
        <w:pStyle w:val="CodeHeader"/>
      </w:pPr>
      <w:r>
        <w:t>@@ -4755,7 +4719,8 @@ Fig. 11-22 and Fig. 11-23 describe the normal flow of this use case for Trigger</w:t>
      </w:r>
    </w:p>
    <w:p>
      <w:pPr>
        <w:pStyle w:val="CodeChangeLine"/>
      </w:pPr>
      <w:r/>
    </w:p>
    <w:p>
      <w:pPr>
        <w:pStyle w:val="CodeChangeLine"/>
      </w:pPr>
      <w:r/>
    </w:p>
    <w:p>
      <w:pPr>
        <w:pStyle w:val="CodeChangeLine"/>
      </w:pPr>
      <w:r>
        <w:t>## 12.11 On-demand data collection for factories</w:t>
      </w:r>
    </w:p>
    <w:p>
      <w:pPr>
        <w:pStyle w:val="CodeChangeLine"/>
        <w:shd w:val="clear" w:color="auto" w:fill="fbe9eb"/>
      </w:pPr>
      <w:r>
        <w:t xml:space="preserve">\-void- </w:t>
      </w:r>
    </w:p>
    <w:p>
      <w:pPr>
        <w:pStyle w:val="CodeChangeLine"/>
        <w:shd w:val="clear" w:color="auto" w:fill="ecfdf0"/>
      </w:pPr>
      <w:r/>
    </w:p>
    <w:p>
      <w:pPr>
        <w:pStyle w:val="CodeChangeLine"/>
        <w:shd w:val="clear" w:color="auto" w:fill="ecfdf0"/>
      </w:pPr>
      <w:r>
        <w:t>Void</w:t>
      </w:r>
    </w:p>
    <w:p>
      <w:pPr>
        <w:pStyle w:val="CodeChangeLine"/>
      </w:pPr>
      <w:r/>
    </w:p>
    <w:p>
      <w:pPr>
        <w:pStyle w:val="CodeChangeLine"/>
      </w:pPr>
      <w:r>
        <w:t xml:space="preserve">&gt; Note: This use case  can be found in TR-0018 &lt;a href="#_ref_i.18"&gt;[i.18]&lt;/a&gt;. </w:t>
      </w:r>
    </w:p>
    <w:p>
      <w:pPr>
        <w:pStyle w:val="CodeChangeLine"/>
      </w:pPr>
      <w:r/>
    </w:p>
    <w:p>
      <w:pPr>
        <w:pStyle w:val="CodeHeader"/>
      </w:pPr>
      <w:r>
        <w:t>@@ -4976,7 +4941,9 @@ None</w:t>
      </w:r>
    </w:p>
    <w:p>
      <w:pPr>
        <w:pStyle w:val="CodeChangeLine"/>
      </w:pPr>
      <w:r/>
    </w:p>
    <w:p>
      <w:pPr>
        <w:pStyle w:val="CodeChangeLine"/>
      </w:pPr>
      <w:r/>
    </w:p>
    <w:p>
      <w:pPr>
        <w:pStyle w:val="CodeChangeLine"/>
      </w:pPr>
      <w:r>
        <w:t>### 12.14.8 Post-conditions</w:t>
      </w:r>
    </w:p>
    <w:p>
      <w:pPr>
        <w:pStyle w:val="CodeChangeLine"/>
        <w:shd w:val="clear" w:color="auto" w:fill="fbe9eb"/>
      </w:pPr>
      <w:r>
        <w:t>&lt;mark&gt;Editor note: Empty clause. add "None"&lt;/mark&gt;</w:t>
      </w:r>
    </w:p>
    <w:p>
      <w:pPr>
        <w:pStyle w:val="CodeChangeLine"/>
        <w:shd w:val="clear" w:color="auto" w:fill="ecfdf0"/>
      </w:pPr>
      <w:r/>
    </w:p>
    <w:p>
      <w:pPr>
        <w:pStyle w:val="CodeChangeLine"/>
        <w:shd w:val="clear" w:color="auto" w:fill="ecfdf0"/>
      </w:pPr>
      <w:r>
        <w:t>None</w:t>
      </w:r>
    </w:p>
    <w:p>
      <w:pPr>
        <w:pStyle w:val="CodeChangeLine"/>
        <w:shd w:val="clear" w:color="auto" w:fill="ecfdf0"/>
      </w:pPr>
      <w:r/>
    </w:p>
    <w:p>
      <w:pPr>
        <w:pStyle w:val="CodeChangeLine"/>
      </w:pPr>
      <w:r/>
    </w:p>
    <w:p>
      <w:pPr>
        <w:pStyle w:val="CodeChangeLine"/>
      </w:pPr>
      <w:r>
        <w:t>### 12.14.9 High Level Illustration</w:t>
      </w:r>
    </w:p>
    <w:p>
      <w:pPr>
        <w:pStyle w:val="CodeChangeLine"/>
      </w:pPr>
      <w:r/>
    </w:p>
    <w:p>
      <w:pPr>
        <w:pStyle w:val="CodeHeader"/>
      </w:pPr>
      <w:r>
        <w:t>@@ -5041,7 +5008,7 @@ One Vehicle attempts to acquire the available parking slot number from the platf</w:t>
      </w:r>
    </w:p>
    <w:p>
      <w:pPr>
        <w:pStyle w:val="CodeChangeLine"/>
      </w:pPr>
      <w:r/>
    </w:p>
    <w:p>
      <w:pPr>
        <w:pStyle w:val="CodeChangeLine"/>
      </w:pPr>
      <w:r>
        <w:t>### 12.15.8 Post-conditions</w:t>
      </w:r>
    </w:p>
    <w:p>
      <w:pPr>
        <w:pStyle w:val="CodeChangeLine"/>
      </w:pPr>
      <w:r/>
    </w:p>
    <w:p>
      <w:pPr>
        <w:pStyle w:val="CodeChangeLine"/>
        <w:shd w:val="clear" w:color="auto" w:fill="fbe9eb"/>
      </w:pPr>
      <w:r>
        <w:t>&lt;mark&gt;Editor note: missing text. At leas "None"&lt;/mark&gt;</w:t>
      </w:r>
    </w:p>
    <w:p>
      <w:pPr>
        <w:pStyle w:val="CodeChangeLine"/>
        <w:shd w:val="clear" w:color="auto" w:fill="ecfdf0"/>
      </w:pPr>
      <w:r>
        <w:t>None</w:t>
      </w:r>
    </w:p>
    <w:p>
      <w:pPr>
        <w:pStyle w:val="CodeChangeLine"/>
      </w:pPr>
      <w:r/>
    </w:p>
    <w:p>
      <w:pPr>
        <w:pStyle w:val="CodeChangeLine"/>
      </w:pPr>
      <w:r/>
    </w:p>
    <w:p>
      <w:pPr>
        <w:pStyle w:val="CodeChangeLine"/>
      </w:pPr>
      <w:r>
        <w:t>### 12.15.9 High Level Illustration</w:t>
      </w:r>
    </w:p>
    <w:p>
      <w:pPr>
        <w:pStyle w:val="CodeHeader"/>
      </w:pPr>
      <w:r>
        <w:t>@@ -5102,7 +5069,7 @@ The following normal flow is described based on a figure in High Level Illustrat</w:t>
      </w:r>
    </w:p>
    <w:p>
      <w:pPr>
        <w:pStyle w:val="CodeChangeLine"/>
      </w:pPr>
      <w:r>
        <w:t>- c) M2M data access from application service providers</w:t>
      </w:r>
    </w:p>
    <w:p>
      <w:pPr>
        <w:pStyle w:val="CodeChangeLine"/>
      </w:pPr>
      <w:r>
        <w:tab/>
        <w:t xml:space="preserve">1. When application service providers access to the collected data in M2M Data, they access M2M Service Provider's Platform. The authorization function in the platform controls access to the M2M Data based on the privacy preference stored in the PPM. The authorization function retrieves privacy preference to the target data from the PPM. </w:t>
      </w:r>
    </w:p>
    <w:p>
      <w:pPr>
        <w:pStyle w:val="CodeChangeLine"/>
      </w:pPr>
      <w:r>
        <w:tab/>
        <w:t>2. If the access is permitted, the target data are transferred to the application service provider. If the access is not permitted, the authorization function responds to the application service provider with the notification of access denied with reasons.</w:t>
      </w:r>
    </w:p>
    <w:p>
      <w:pPr>
        <w:pStyle w:val="CodeChangeLine"/>
        <w:shd w:val="clear" w:color="auto" w:fill="fbe9eb"/>
      </w:pPr>
      <w:r>
        <w:t>- d)  Traceability of personal data usage</w:t>
      </w:r>
    </w:p>
    <w:p>
      <w:pPr>
        <w:pStyle w:val="CodeChangeLine"/>
        <w:shd w:val="clear" w:color="auto" w:fill="ecfdf0"/>
      </w:pPr>
      <w:r>
        <w:t>- d) Traceability of personal data usage</w:t>
      </w:r>
    </w:p>
    <w:p>
      <w:pPr>
        <w:pStyle w:val="CodeChangeLine"/>
      </w:pPr>
      <w:r>
        <w:tab/>
        <w:t>1. When the application service providers access to the collected data in M2M Data, all the access and its result (access permitted, access denied) are recorded and stored at the PPM.</w:t>
      </w:r>
    </w:p>
    <w:p>
      <w:pPr>
        <w:pStyle w:val="CodeChangeLine"/>
      </w:pPr>
      <w:r>
        <w:tab/>
        <w:t>2. If the data provider would like to check the status of data usage by application providers, the data provider access to the PPM. The data provider can recognize that which application provider accessed to what kinds of collected data.</w:t>
      </w:r>
    </w:p>
    <w:p>
      <w:pPr>
        <w:pStyle w:val="CodeChangeLine"/>
      </w:pPr>
      <w:r>
        <w:tab/>
        <w:t>3. If the data provider would like to delete the collected data that were stored in the application service providers, the data provider can request the application service providers to delete the transferred data by specifying access record in the PPM.</w:t>
      </w:r>
    </w:p>
    <w:p>
      <w:pPr>
        <w:pStyle w:val="CodeHeader"/>
      </w:pPr>
      <w:r>
        <w:t>@@ -5320,12 +5287,12 @@ Names are based on the current European Union (EU) data protection definitions.</w:t>
      </w:r>
    </w:p>
    <w:p>
      <w:pPr>
        <w:pStyle w:val="CodeChangeLine"/>
      </w:pPr>
      <w:r/>
    </w:p>
    <w:p>
      <w:pPr>
        <w:pStyle w:val="CodeChangeLine"/>
      </w:pPr>
      <w:r>
        <w:t>### 12.19.4 Pre-conditions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12.19.5 Triggers</w:t>
      </w:r>
    </w:p>
    <w:p>
      <w:pPr>
        <w:pStyle w:val="CodeChangeLine"/>
      </w:pPr>
      <w:r/>
    </w:p>
    <w:p>
      <w:pPr>
        <w:pStyle w:val="CodeChangeLine"/>
        <w:shd w:val="clear" w:color="auto" w:fill="fbe9eb"/>
      </w:pPr>
      <w:r>
        <w:t>Not applicable</w:t>
      </w:r>
    </w:p>
    <w:p>
      <w:pPr>
        <w:pStyle w:val="CodeChangeLine"/>
        <w:shd w:val="clear" w:color="auto" w:fill="ecfdf0"/>
      </w:pPr>
      <w:r>
        <w:t>None</w:t>
      </w:r>
    </w:p>
    <w:p>
      <w:pPr>
        <w:pStyle w:val="CodeChangeLine"/>
      </w:pPr>
      <w:r/>
    </w:p>
    <w:p>
      <w:pPr>
        <w:pStyle w:val="CodeChangeLine"/>
      </w:pPr>
      <w:r/>
    </w:p>
    <w:p>
      <w:pPr>
        <w:pStyle w:val="CodeChangeLine"/>
      </w:pPr>
      <w:r>
        <w:t>### 12.19.6 Normal Flow</w:t>
      </w:r>
    </w:p>
    <w:p>
      <w:pPr>
        <w:pStyle w:val="CodeHeader"/>
      </w:pPr>
      <w:r>
        <w:t>@@ -5352,12 +5319,12 @@ The data subject has given or refused informed consent for data capture for each</w:t>
      </w:r>
    </w:p>
    <w:p>
      <w:pPr>
        <w:pStyle w:val="CodeChangeLine"/>
      </w:pPr>
      <w:r/>
    </w:p>
    <w:p>
      <w:pPr>
        <w:pStyle w:val="CodeChangeLine"/>
      </w:pPr>
      <w:r>
        <w:t xml:space="preserve">The concept of a Privacy Policy Manager (PPM), as described in TR-0016 &lt;a href="#_ref_i.19"&gt;[i.19]&lt;/a&gt; is </w:t>
      </w:r>
    </w:p>
    <w:p>
      <w:pPr>
        <w:pStyle w:val="CodeChangeLine"/>
      </w:pPr>
      <w:r/>
    </w:p>
    <w:p>
      <w:pPr>
        <w:pStyle w:val="CodeChangeLine"/>
        <w:shd w:val="clear" w:color="auto" w:fill="fbe9eb"/>
      </w:pPr>
      <w:r>
        <w:t xml:space="preserve">_"The PPM had been adapted to large scale HEMS (Home Energy Management System) as trial, and they had started evaluation of PPM effectiveness._ </w:t>
      </w:r>
    </w:p>
    <w:p>
      <w:pPr>
        <w:pStyle w:val="CodeChangeLine"/>
        <w:shd w:val="clear" w:color="auto" w:fill="ecfdf0"/>
      </w:pPr>
      <w:r>
        <w:t>_"The PPM had been adapted to large scale HEMS (Home Energy Management System) as trial, and they had started evaluation of PPM effectiveness._</w:t>
      </w:r>
    </w:p>
    <w:p>
      <w:pPr>
        <w:pStyle w:val="CodeChangeLine"/>
      </w:pPr>
      <w:r/>
    </w:p>
    <w:p>
      <w:pPr>
        <w:pStyle w:val="CodeChangeLine"/>
      </w:pPr>
      <w:r>
        <w:t xml:space="preserve">_The PPM is based on the following two main concepts:_ </w:t>
      </w:r>
    </w:p>
    <w:p>
      <w:pPr>
        <w:pStyle w:val="CodeChangeLine"/>
      </w:pPr>
      <w:r/>
    </w:p>
    <w:p>
      <w:pPr>
        <w:pStyle w:val="CodeChangeLine"/>
      </w:pPr>
      <w:r>
        <w:t xml:space="preserve">- _Based on 'Privacy by Design', Inclusion in the architecture of a personal data distribution base._ </w:t>
      </w:r>
    </w:p>
    <w:p>
      <w:pPr>
        <w:pStyle w:val="CodeChangeLine"/>
        <w:shd w:val="clear" w:color="auto" w:fill="fbe9eb"/>
      </w:pPr>
      <w:r>
        <w:t xml:space="preserve">- _Based on 'Privacy First', the provision of an "_ _end users function_ _" by which end users can manage their own personal data distribution according to their privacy preferences."_ </w:t>
      </w:r>
    </w:p>
    <w:p>
      <w:pPr>
        <w:pStyle w:val="CodeChangeLine"/>
        <w:shd w:val="clear" w:color="auto" w:fill="ecfdf0"/>
      </w:pPr>
      <w:r>
        <w:t xml:space="preserve">- _Based on 'Privacy First', the provision of an " end users function" by which end users can manage their own personal data distribution according to their privacy preferences."_ </w:t>
      </w:r>
    </w:p>
    <w:p>
      <w:pPr>
        <w:pStyle w:val="CodeChangeLine"/>
      </w:pPr>
      <w:r/>
    </w:p>
    <w:p>
      <w:pPr>
        <w:pStyle w:val="CodeChangeLine"/>
      </w:pPr>
      <w:r>
        <w:t>An overview of the proposal is shown below (Data Provider is the equivalent of Data Subject in UE data protection legislation).</w:t>
      </w:r>
    </w:p>
    <w:p>
      <w:pPr>
        <w:pStyle w:val="CodeChangeLine"/>
      </w:pPr>
      <w:r/>
    </w:p>
    <w:p>
      <w:pPr>
        <w:pStyle w:val="CodeHeader"/>
      </w:pPr>
      <w:r>
        <w:t>@@ -5391,12 +5358,12 @@ For traceability requirements, the traceability information should be associated</w:t>
      </w:r>
    </w:p>
    <w:p>
      <w:pPr>
        <w:pStyle w:val="CodeChangeLine"/>
      </w:pPr>
      <w:r/>
    </w:p>
    <w:p>
      <w:pPr>
        <w:pStyle w:val="CodeChangeLine"/>
      </w:pPr>
      <w:r>
        <w:t>- Logs</w:t>
      </w:r>
    </w:p>
    <w:p>
      <w:pPr>
        <w:pStyle w:val="CodeChangeLine"/>
      </w:pPr>
      <w:r>
        <w:t>- Information on ID service nodes, such as:</w:t>
      </w:r>
    </w:p>
    <w:p>
      <w:pPr>
        <w:pStyle w:val="CodeChangeLine"/>
        <w:shd w:val="clear" w:color="auto" w:fill="fbe9eb"/>
      </w:pPr>
      <w:r>
        <w:tab/>
        <w:t xml:space="preserve">- servers that provide access to traceability information,  and </w:t>
      </w:r>
    </w:p>
    <w:p>
      <w:pPr>
        <w:pStyle w:val="CodeChangeLine"/>
        <w:shd w:val="clear" w:color="auto" w:fill="ecfdf0"/>
      </w:pPr>
      <w:r>
        <w:tab/>
        <w:t xml:space="preserve">- servers that provide access to traceability information, and </w:t>
      </w:r>
    </w:p>
    <w:p>
      <w:pPr>
        <w:pStyle w:val="CodeChangeLine"/>
      </w:pPr>
      <w:r>
        <w:tab/>
        <w:t>- devices (sensors and gateways) that gather traceability information</w:t>
      </w:r>
    </w:p>
    <w:p>
      <w:pPr>
        <w:pStyle w:val="CodeChangeLine"/>
      </w:pPr>
      <w:r/>
    </w:p>
    <w:p>
      <w:pPr>
        <w:pStyle w:val="CodeChangeLine"/>
        <w:shd w:val="clear" w:color="auto" w:fill="fbe9eb"/>
      </w:pPr>
      <w:r>
        <w:t xml:space="preserve">The **_M2M service platform_**  is an entity that is responsible to provide the traceability linking service. </w:t>
      </w:r>
    </w:p>
    <w:p>
      <w:pPr>
        <w:pStyle w:val="CodeChangeLine"/>
        <w:shd w:val="clear" w:color="auto" w:fill="ecfdf0"/>
      </w:pPr>
      <w:r>
        <w:t xml:space="preserve">The **_M2M service platform_** is an entity that is responsible to provide the traceability linking service. </w:t>
      </w:r>
    </w:p>
    <w:p>
      <w:pPr>
        <w:pStyle w:val="CodeChangeLine"/>
      </w:pPr>
      <w:r/>
    </w:p>
    <w:p>
      <w:pPr>
        <w:pStyle w:val="CodeChangeLine"/>
        <w:shd w:val="clear" w:color="auto" w:fill="fbe9eb"/>
      </w:pPr>
      <w:r>
        <w:t>The **_traceability application_**  can request the M2M service platform to provide traceability linking service, and then obtain corresponding traceability information.</w:t>
      </w:r>
    </w:p>
    <w:p>
      <w:pPr>
        <w:pStyle w:val="CodeChangeLine"/>
        <w:shd w:val="clear" w:color="auto" w:fill="ecfdf0"/>
      </w:pPr>
      <w:r>
        <w:t>The **_traceability application_** can request the M2M service platform to provide traceability linking service, and then obtain corresponding traceability information.</w:t>
      </w:r>
    </w:p>
    <w:p>
      <w:pPr>
        <w:pStyle w:val="CodeChangeLine"/>
      </w:pPr>
      <w:r/>
    </w:p>
    <w:p>
      <w:pPr>
        <w:pStyle w:val="CodeChangeLine"/>
      </w:pPr>
      <w:r/>
    </w:p>
    <w:p>
      <w:pPr>
        <w:pStyle w:val="CodeChangeLine"/>
      </w:pPr>
      <w:r>
        <w:t>### 12.20.2 Source</w:t>
      </w:r>
    </w:p>
    <w:p>
      <w:pPr>
        <w:pStyle w:val="CodeHeader"/>
      </w:pPr>
      <w:r>
        <w:t>@@ -5418,7 +5385,7 @@ REQ-2016-0043R05 Use Case Intelligence agricultural product traceability</w:t>
      </w:r>
    </w:p>
    <w:p>
      <w:pPr>
        <w:pStyle w:val="CodeChangeLine"/>
      </w:pPr>
      <w:r/>
    </w:p>
    <w:p>
      <w:pPr>
        <w:pStyle w:val="CodeChangeLine"/>
      </w:pPr>
      <w:r>
        <w:tab/>
        <w:t>The ID service nodes are</w:t>
      </w:r>
    </w:p>
    <w:p>
      <w:pPr>
        <w:pStyle w:val="CodeChangeLine"/>
      </w:pPr>
      <w:r/>
    </w:p>
    <w:p>
      <w:pPr>
        <w:pStyle w:val="CodeChangeLine"/>
        <w:shd w:val="clear" w:color="auto" w:fill="fbe9eb"/>
      </w:pPr>
      <w:r>
        <w:tab/>
        <w:t xml:space="preserve">- information servers that provide access to traceability information,  and </w:t>
      </w:r>
    </w:p>
    <w:p>
      <w:pPr>
        <w:pStyle w:val="CodeChangeLine"/>
        <w:shd w:val="clear" w:color="auto" w:fill="ecfdf0"/>
      </w:pPr>
      <w:r>
        <w:tab/>
        <w:t xml:space="preserve">- information servers that provide access to traceability information, and </w:t>
      </w:r>
    </w:p>
    <w:p>
      <w:pPr>
        <w:pStyle w:val="CodeChangeLine"/>
      </w:pPr>
      <w:r>
        <w:tab/>
        <w:t>- devices (sensors and gateways) that gather traceability information</w:t>
      </w:r>
    </w:p>
    <w:p>
      <w:pPr>
        <w:pStyle w:val="CodeChangeLine"/>
      </w:pPr>
      <w:r/>
    </w:p>
    <w:p>
      <w:pPr>
        <w:pStyle w:val="CodeChangeLine"/>
      </w:pPr>
      <w:r>
        <w:t>It can provide traceability linking services for product identifier and its corresponding information, forward the links to M2M service platform.</w:t>
      </w:r>
    </w:p>
    <w:p>
      <w:pPr>
        <w:pStyle w:val="CodeHeader"/>
      </w:pPr>
      <w:r>
        <w:t>@@ -5451,7 +5418,7 @@ In case the M2M service platform cannot provide accurate traceability informatio</w:t>
      </w:r>
    </w:p>
    <w:p>
      <w:pPr>
        <w:pStyle w:val="CodeChangeLine"/>
      </w:pPr>
      <w:r/>
    </w:p>
    <w:p>
      <w:pPr>
        <w:pStyle w:val="CodeChangeLine"/>
      </w:pPr>
      <w:r>
        <w:t>### 12.20.8 Post-conditions</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12.20.9 High Level Illustration</w:t>
      </w:r>
    </w:p>
    <w:p>
      <w:pPr>
        <w:pStyle w:val="CodeHeader"/>
      </w:pPr>
      <w:r>
        <w:t>@@ -5503,7 +5470,7 @@ Vendor specific node (application or server), AE (user application).</w:t>
      </w:r>
    </w:p>
    <w:p>
      <w:pPr>
        <w:pStyle w:val="CodeChangeLine"/>
      </w:pPr>
      <w:r/>
    </w:p>
    <w:p>
      <w:pPr>
        <w:pStyle w:val="CodeChangeLine"/>
      </w:pPr>
      <w:r>
        <w:t>### 12.21.4 Pre-conditions</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12.21.5 Triggers</w:t>
      </w:r>
    </w:p>
    <w:p>
      <w:pPr>
        <w:pStyle w:val="CodeHeader"/>
      </w:pPr>
      <w:r>
        <w:t>@@ -5587,9 +5554,7 @@ REQ-2018-0030-Link\_Binding\_Management\_in\_Digital\_Twins\_and\_Edge\_Fog\_Com</w:t>
      </w:r>
    </w:p>
    <w:p>
      <w:pPr>
        <w:pStyle w:val="CodeChangeLine"/>
      </w:pPr>
      <w:r/>
    </w:p>
    <w:p>
      <w:pPr>
        <w:pStyle w:val="CodeChangeLine"/>
      </w:pPr>
      <w:r>
        <w:t>### 12.22.6 Normal Flow</w:t>
      </w:r>
    </w:p>
    <w:p>
      <w:pPr>
        <w:pStyle w:val="CodeChangeLine"/>
      </w:pPr>
      <w:r/>
    </w:p>
    <w:p>
      <w:pPr>
        <w:pStyle w:val="CodeChangeLine"/>
        <w:shd w:val="clear" w:color="auto" w:fill="fbe9eb"/>
      </w:pPr>
      <w:r>
        <w:t>&lt;mark&gt;Editor note: correct the figure reference in the following paragraph&lt;/mark&gt;</w:t>
      </w:r>
    </w:p>
    <w:p>
      <w:pPr>
        <w:pStyle w:val="CodeChangeLine"/>
        <w:shd w:val="clear" w:color="auto" w:fill="fbe9eb"/>
      </w:pPr>
      <w:r/>
    </w:p>
    <w:p>
      <w:pPr>
        <w:pStyle w:val="CodeChangeLine"/>
        <w:shd w:val="clear" w:color="auto" w:fill="fbe9eb"/>
      </w:pPr>
      <w:r>
        <w:t xml:space="preserve">Figure Figure 12-33 illustrates the normal flow for link binding management for the scenario where physical products play as SRH to report data to their digital twins as DRH. Note that the similar flow can be applied to the case when digital twins play as SRH to send commands to physical products as DRH. </w:t>
      </w:r>
    </w:p>
    <w:p>
      <w:pPr>
        <w:pStyle w:val="CodeChangeLine"/>
        <w:shd w:val="clear" w:color="auto" w:fill="ecfdf0"/>
      </w:pPr>
      <w:r>
        <w:t xml:space="preserve">Figure 12.22.6-1 illustrates the normal flow for link binding management for the scenario where physical products play as SRH to report data to their digital twins as DRH. Note that the similar flow can be applied to the case when digital twins play as SRH to send commands to physical products as DRH. </w:t>
      </w:r>
    </w:p>
    <w:p>
      <w:pPr>
        <w:pStyle w:val="CodeChangeLine"/>
      </w:pPr>
      <w:r/>
    </w:p>
    <w:p>
      <w:pPr>
        <w:pStyle w:val="CodeChangeLine"/>
      </w:pPr>
      <w:r>
        <w:t xml:space="preserve">1. Step 1: The physical product application as a RC creates source resources at the SRH. In the meantime, the RC provides binding support in this process along two aspects: 1) The RC can indicate certain binding hints for the resource to be created. The binding hints could be the binding role of the resource (i.e. source resource, or destination resource), the type of the resource to be bound to, binding attributes the resource can support, etc. Such binding hints could be provided to the RC via a user interface or previsioned to the RC. 2) The RC can also create link binding in this step. In other words, the RC creates new resources and new link bindings simultaneously. For example, when creating a source resource at the SRH, the RC can provide the destination resource and binding attributes to the SRH and accordingly create a link binding from the resource to be created to the destination resource at the SRH (i.e. for Push mode). </w:t>
      </w:r>
    </w:p>
    <w:p>
      <w:pPr>
        <w:pStyle w:val="CodeChangeLine"/>
      </w:pPr>
      <w:r>
        <w:t>2. Step 2: The management application as a LBC discovers appropriate resources (i.e. source resources and destination resources) from the DRH and the SRH. The LBC will provide new filters related to link binding such as link binding role (i.e. source resource or destination resource), binding attributes which the resource to be discovered can support, etc. Based on those new filters, more appropriate resources for link binding will be identified and returned from the DRH/SRH to the LBC. Before discovering any resource, the LBC basically does not know if a resource host maintains source resources, destination resources, or both. It just simply issues a resource discovery request to a resource host; the resource discovery request will indicate whether it intends to search source resources or destination resources.</w:t>
      </w:r>
    </w:p>
    <w:p>
      <w:pPr>
        <w:pStyle w:val="CodeHeader"/>
      </w:pPr>
      <w:r>
        <w:t>@@ -5614,11 +5579,10 @@ None</w:t>
      </w:r>
    </w:p>
    <w:p>
      <w:pPr>
        <w:pStyle w:val="CodeChangeLine"/>
      </w:pPr>
      <w:r/>
    </w:p>
    <w:p>
      <w:pPr>
        <w:pStyle w:val="CodeChangeLine"/>
      </w:pPr>
      <w:r>
        <w:t xml:space="preserve">- After appropriate link bindings are established between a physical product and its digital twin, they automatically exchange data and command accordindg to the established link bindings.  </w:t>
      </w:r>
    </w:p>
    <w:p>
      <w:pPr>
        <w:pStyle w:val="CodeChangeLine"/>
      </w:pPr>
      <w:r/>
    </w:p>
    <w:p>
      <w:pPr>
        <w:pStyle w:val="CodeChangeLine"/>
        <w:shd w:val="clear" w:color="auto" w:fill="fbe9eb"/>
      </w:pPr>
      <w:r>
        <w:t>### 12.22.9 Level Illustration</w:t>
      </w:r>
    </w:p>
    <w:p>
      <w:pPr>
        <w:pStyle w:val="CodeChangeLine"/>
        <w:shd w:val="clear" w:color="auto" w:fill="fbe9eb"/>
      </w:pPr>
      <w:r/>
    </w:p>
    <w:p>
      <w:pPr>
        <w:pStyle w:val="CodeChangeLine"/>
        <w:shd w:val="clear" w:color="auto" w:fill="fbe9eb"/>
      </w:pPr>
      <w:r>
        <w:t>&lt;mark&gt;Editor note: correct clause title -&gt; "High Level Illustration"&lt;/mark&gt;</w:t>
      </w:r>
    </w:p>
    <w:p>
      <w:pPr>
        <w:pStyle w:val="CodeChangeLine"/>
        <w:shd w:val="clear" w:color="auto" w:fill="ecfdf0"/>
      </w:pPr>
      <w:r>
        <w:t>### 12.22.9 High Level Illustration</w:t>
      </w:r>
    </w:p>
    <w:p>
      <w:pPr>
        <w:pStyle w:val="CodeChangeLine"/>
      </w:pPr>
      <w:r/>
    </w:p>
    <w:p>
      <w:pPr>
        <w:pStyle w:val="CodeChangeLine"/>
      </w:pPr>
      <w:r>
        <w:t>![Figure 12.22.9-1 High Level Illustration - Link Binding in Digital Twins](media/12_22_9_1.png)</w:t>
      </w:r>
    </w:p>
    <w:p>
      <w:pPr>
        <w:pStyle w:val="CodeChangeLine"/>
        <w:shd w:val="clear" w:color="auto" w:fill="ecfdf0"/>
      </w:pPr>
      <w:r/>
    </w:p>
    <w:p>
      <w:pPr>
        <w:pStyle w:val="CodeChangeLine"/>
      </w:pPr>
      <w:r>
        <w:t>**Figure 12.22.9-1 High Level Illustration - Link Binding in Digital Twins**</w:t>
      </w:r>
    </w:p>
    <w:p>
      <w:pPr>
        <w:pStyle w:val="CodeChangeLine"/>
      </w:pPr>
      <w:r/>
    </w:p>
    <w:p>
      <w:pPr>
        <w:pStyle w:val="CodeChangeLine"/>
      </w:pPr>
      <w:r/>
    </w:p>
    <w:p>
      <w:pPr>
        <w:pStyle w:val="CodeHeader"/>
      </w:pPr>
      <w:r>
        <w:t>@@ -5657,7 +5621,7 @@ REQ-2018-0048R04 Use case for automatic ontology mapping</w:t>
      </w:r>
    </w:p>
    <w:p>
      <w:pPr>
        <w:pStyle w:val="CodeChangeLine"/>
      </w:pPr>
      <w:r/>
    </w:p>
    <w:p>
      <w:pPr>
        <w:pStyle w:val="CodeChangeLine"/>
      </w:pPr>
      <w:r>
        <w:t>### 12.23.4 Pre-conditions</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12.23.5 Triggers</w:t>
      </w:r>
    </w:p>
    <w:p>
      <w:pPr>
        <w:pStyle w:val="CodeHeader"/>
      </w:pPr>
      <w:r>
        <w:t>@@ -5684,7 +5648,7 @@ The normal message flow is described as follows:</w:t>
      </w:r>
    </w:p>
    <w:p>
      <w:pPr>
        <w:pStyle w:val="CodeChangeLine"/>
      </w:pPr>
      <w:r/>
    </w:p>
    <w:p>
      <w:pPr>
        <w:pStyle w:val="CodeChangeLine"/>
      </w:pPr>
      <w:r>
        <w:t>### 12.23.7 Alternative flow</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12.23.8 Post-conditions</w:t>
      </w:r>
    </w:p>
    <w:p>
      <w:pPr>
        <w:pStyle w:val="CodeHeader"/>
      </w:pPr>
      <w:r>
        <w:t>@@ -5756,7 +5720,7 @@ The normal message flow is described as follows:</w:t>
      </w:r>
    </w:p>
    <w:p>
      <w:pPr>
        <w:pStyle w:val="CodeChangeLine"/>
      </w:pPr>
      <w:r/>
    </w:p>
    <w:p>
      <w:pPr>
        <w:pStyle w:val="CodeChangeLine"/>
      </w:pPr>
      <w:r>
        <w:t>### 12.24.7 Alternative flow</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12.24.8 Post-conditions</w:t>
      </w:r>
    </w:p>
    <w:p>
      <w:pPr>
        <w:pStyle w:val="CodeHeader"/>
      </w:pPr>
      <w:r>
        <w:t>@@ -5770,6 +5734,7 @@ None</w:t>
      </w:r>
    </w:p>
    <w:p>
      <w:pPr>
        <w:pStyle w:val="CodeChangeLine"/>
      </w:pPr>
      <w:r/>
    </w:p>
    <w:p>
      <w:pPr>
        <w:pStyle w:val="CodeChangeLine"/>
      </w:pPr>
      <w:r>
        <w:t>**Figure 12.24.9-1 Ontology mapping conflict detection and repair - High-level Illustration**</w:t>
      </w:r>
    </w:p>
    <w:p>
      <w:pPr>
        <w:pStyle w:val="CodeChangeLine"/>
      </w:pPr>
      <w:r/>
    </w:p>
    <w:p>
      <w:pPr>
        <w:pStyle w:val="CodeChangeLine"/>
        <w:shd w:val="clear" w:color="auto" w:fill="ecfdf0"/>
      </w:pPr>
      <w:r/>
    </w:p>
    <w:p>
      <w:pPr>
        <w:pStyle w:val="CodeChangeLine"/>
      </w:pPr>
      <w:r>
        <w:t>### 12.24.10 Potential requirements</w:t>
      </w:r>
    </w:p>
    <w:p>
      <w:pPr>
        <w:pStyle w:val="CodeChangeLine"/>
      </w:pPr>
      <w:r/>
    </w:p>
    <w:p>
      <w:pPr>
        <w:pStyle w:val="CodeChangeLine"/>
      </w:pPr>
      <w:r>
        <w:t>1. The oneM2M system shall be able to detect ontology's mapping conflicts and repair them.</w:t>
      </w:r>
    </w:p>
    <w:p>
      <w:pPr>
        <w:pStyle w:val="CodeHeader"/>
      </w:pPr>
      <w:r>
        <w:t>@@ -5824,17 +5789,17 @@ The normal message flow is described as follows:</w:t>
      </w:r>
    </w:p>
    <w:p>
      <w:pPr>
        <w:pStyle w:val="CodeChangeLine"/>
      </w:pPr>
      <w:r/>
    </w:p>
    <w:p>
      <w:pPr>
        <w:pStyle w:val="CodeChangeLine"/>
      </w:pPr>
      <w:r>
        <w:t>### 12.25.7 Alternative Flow</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12.25.8 Post-conditions</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12.25.9 High Level Illustration</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12.25.10 Potential requirements</w:t>
      </w:r>
    </w:p>
    <w:p>
      <w:pPr>
        <w:pStyle w:val="CodeHeader"/>
      </w:pPr>
      <w:r>
        <w:t>@@ -5857,8 +5822,7 @@ With the capability of automatic ontology mapping (described in clause 12.23), o</w:t>
      </w:r>
    </w:p>
    <w:p>
      <w:pPr>
        <w:pStyle w:val="CodeChangeLine"/>
      </w:pPr>
      <w:r/>
    </w:p>
    <w:p>
      <w:pPr>
        <w:pStyle w:val="CodeChangeLine"/>
      </w:pPr>
      <w:r>
        <w:t>### 12.26.2 Source</w:t>
      </w:r>
    </w:p>
    <w:p>
      <w:pPr>
        <w:pStyle w:val="CodeChangeLine"/>
      </w:pPr>
      <w:r/>
    </w:p>
    <w:p>
      <w:pPr>
        <w:pStyle w:val="CodeChangeLine"/>
        <w:shd w:val="clear" w:color="auto" w:fill="fbe9eb"/>
      </w:pPr>
      <w:r>
        <w:t>&lt;mark&gt;Editor note: fix empty clause&lt;/mark&gt;</w:t>
      </w:r>
    </w:p>
    <w:p>
      <w:pPr>
        <w:pStyle w:val="CodeChangeLine"/>
        <w:shd w:val="clear" w:color="auto" w:fill="fbe9eb"/>
      </w:pPr>
      <w:r/>
    </w:p>
    <w:p>
      <w:pPr>
        <w:pStyle w:val="CodeChangeLine"/>
        <w:shd w:val="clear" w:color="auto" w:fill="ecfdf0"/>
      </w:pPr>
      <w:r>
        <w:t>None</w:t>
      </w:r>
    </w:p>
    <w:p>
      <w:pPr>
        <w:pStyle w:val="CodeChangeLine"/>
      </w:pPr>
      <w:r/>
    </w:p>
    <w:p>
      <w:pPr>
        <w:pStyle w:val="CodeChangeLine"/>
      </w:pPr>
      <w:r>
        <w:t>### 12.26.3 Actors</w:t>
      </w:r>
    </w:p>
    <w:p>
      <w:pPr>
        <w:pStyle w:val="CodeChangeLine"/>
      </w:pPr>
      <w:r/>
    </w:p>
    <w:p>
      <w:pPr>
        <w:pStyle w:val="CodeHeader"/>
      </w:pPr>
      <w:r>
        <w:t>@@ -5895,17 +5859,17 @@ The normal message flow is described as follows:</w:t>
      </w:r>
    </w:p>
    <w:p>
      <w:pPr>
        <w:pStyle w:val="CodeChangeLine"/>
      </w:pPr>
      <w:r/>
    </w:p>
    <w:p>
      <w:pPr>
        <w:pStyle w:val="CodeChangeLine"/>
      </w:pPr>
      <w:r>
        <w:t>### 12.26.7 Alternative Flow</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12.26.8 Post-conditions</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12.26.9 High Level Illustration</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12.26.10 Potential requirements</w:t>
      </w:r>
    </w:p>
    <w:p>
      <w:pPr>
        <w:pStyle w:val="CodeHeader"/>
      </w:pPr>
      <w:r>
        <w:t>@@ -5950,7 +5914,7 @@ REQ-2018-0072R02 Use Case for Cooperative Fog Service</w:t>
      </w:r>
    </w:p>
    <w:p>
      <w:pPr>
        <w:pStyle w:val="CodeChangeLine"/>
      </w:pPr>
      <w:r>
        <w:t>- A new fog node enters the coverage of a fog leader, or a fog node leaves the coverage of a fog leader.</w:t>
      </w:r>
    </w:p>
    <w:p>
      <w:pPr>
        <w:pStyle w:val="CodeChangeLine"/>
      </w:pPr>
      <w:r/>
    </w:p>
    <w:p>
      <w:pPr>
        <w:pStyle w:val="CodeChangeLine"/>
      </w:pPr>
      <w:r/>
    </w:p>
    <w:p>
      <w:pPr>
        <w:pStyle w:val="CodeChangeLine"/>
        <w:shd w:val="clear" w:color="auto" w:fill="fbe9eb"/>
      </w:pPr>
      <w:r>
        <w:t>### 12-27.6 Normal Flow</w:t>
      </w:r>
    </w:p>
    <w:p>
      <w:pPr>
        <w:pStyle w:val="CodeChangeLine"/>
        <w:shd w:val="clear" w:color="auto" w:fill="ecfdf0"/>
      </w:pPr>
      <w:r>
        <w:t>### 12.27.6 Normal Flow</w:t>
      </w:r>
    </w:p>
    <w:p>
      <w:pPr>
        <w:pStyle w:val="CodeChangeLine"/>
      </w:pPr>
      <w:r/>
    </w:p>
    <w:p>
      <w:pPr>
        <w:pStyle w:val="CodeChangeLine"/>
      </w:pPr>
      <w:r>
        <w:t>Figure 12.27.6-1 illustrates the high-level flows of cooperative fog service use case, which consists of the following steps:</w:t>
      </w:r>
    </w:p>
    <w:p>
      <w:pPr>
        <w:pStyle w:val="CodeChangeLine"/>
      </w:pPr>
      <w:r/>
    </w:p>
    <w:p>
      <w:pPr>
        <w:pStyle w:val="CodeHeader"/>
      </w:pPr>
      <w:r>
        <w:t>@@ -5978,8 +5942,7 @@ None</w:t>
      </w:r>
    </w:p>
    <w:p>
      <w:pPr>
        <w:pStyle w:val="CodeChangeLine"/>
      </w:pPr>
      <w:r/>
    </w:p>
    <w:p>
      <w:pPr>
        <w:pStyle w:val="CodeChangeLine"/>
      </w:pPr>
      <w:r>
        <w:t>### 12.27.8 Post-conditions</w:t>
      </w:r>
    </w:p>
    <w:p>
      <w:pPr>
        <w:pStyle w:val="CodeChangeLine"/>
      </w:pPr>
      <w:r/>
    </w:p>
    <w:p>
      <w:pPr>
        <w:pStyle w:val="CodeChangeLine"/>
        <w:shd w:val="clear" w:color="auto" w:fill="fbe9eb"/>
      </w:pPr>
      <w:r>
        <w:t>&lt;mark&gt;Editor note: N/A or None?&lt;/mark&gt;</w:t>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12.27.9 High Level Illustration</w:t>
      </w:r>
    </w:p>
    <w:p>
      <w:pPr>
        <w:pStyle w:val="CodeHeader"/>
      </w:pPr>
      <w:r>
        <w:t>@@ -6058,8 +6021,6 @@ No specific new features are  currently identified as result of the analysis of</w:t>
      </w:r>
    </w:p>
    <w:p>
      <w:pPr>
        <w:pStyle w:val="CodeChangeLine"/>
      </w:pPr>
      <w:r/>
    </w:p>
    <w:p>
      <w:pPr>
        <w:pStyle w:val="CodeChangeLine"/>
      </w:pPr>
      <w:r>
        <w:t>### 12.28.4 Management of Group of Lifts</w:t>
      </w:r>
    </w:p>
    <w:p>
      <w:pPr>
        <w:pStyle w:val="CodeChangeLine"/>
      </w:pPr>
      <w:r/>
    </w:p>
    <w:p>
      <w:pPr>
        <w:pStyle w:val="CodeChangeLine"/>
        <w:shd w:val="clear" w:color="auto" w:fill="fbe9eb"/>
      </w:pPr>
      <w:r>
        <w:t>&lt;mark&gt;Editor note: The level and numbering of clauses below are incorrect&lt;/mark&gt;</w:t>
      </w:r>
    </w:p>
    <w:p>
      <w:pPr>
        <w:pStyle w:val="CodeChangeLine"/>
        <w:shd w:val="clear" w:color="auto" w:fill="fbe9eb"/>
      </w:pPr>
      <w:r/>
    </w:p>
    <w:p>
      <w:pPr>
        <w:pStyle w:val="CodeChangeLine"/>
      </w:pPr>
      <w:r>
        <w:t>#### 12.28.4.1 Description</w:t>
      </w:r>
    </w:p>
    <w:p>
      <w:pPr>
        <w:pStyle w:val="CodeChangeLine"/>
      </w:pPr>
      <w:r/>
    </w:p>
    <w:p>
      <w:pPr>
        <w:pStyle w:val="CodeChangeLine"/>
      </w:pPr>
      <w:r>
        <w:t>This case is about the control room operator that is in charge of monitoring and manage the lifts installed in the railway stations; the railways company want the possibility of monitoring the status of each lift and the possibility of controlling the lifts from a remote control room.</w:t>
      </w:r>
    </w:p>
    <w:p>
      <w:pPr>
        <w:pStyle w:val="CodeHeader"/>
      </w:pPr>
      <w:r>
        <w:t>@@ -6068,11 +6029,10 @@ To achieve this purpose the control cabinet of the lift has to expose the status</w:t>
      </w:r>
    </w:p>
    <w:p>
      <w:pPr>
        <w:pStyle w:val="CodeChangeLine"/>
      </w:pPr>
      <w:r/>
    </w:p>
    <w:p>
      <w:pPr>
        <w:pStyle w:val="CodeChangeLine"/>
      </w:pPr>
      <w:r>
        <w:t>This case could be extended to all the cases where the building's owners want to manage and monitor  lifts in a single building or in several buildings (like railway stations, hospitals, office buildings, etc...); the objective is to manage and control the situation from a single and centralized control room.</w:t>
      </w:r>
    </w:p>
    <w:p>
      <w:pPr>
        <w:pStyle w:val="CodeChangeLine"/>
      </w:pPr>
      <w:r/>
    </w:p>
    <w:p>
      <w:pPr>
        <w:pStyle w:val="CodeChangeLine"/>
        <w:shd w:val="clear" w:color="auto" w:fill="fbe9eb"/>
      </w:pPr>
      <w:r>
        <w:t>&lt;mark&gt;Editor note: Figure number should follow the clause number&lt;/mark&gt;</w:t>
      </w:r>
    </w:p>
    <w:p>
      <w:pPr>
        <w:pStyle w:val="CodeChangeLine"/>
      </w:pPr>
      <w:r/>
    </w:p>
    <w:p>
      <w:pPr>
        <w:pStyle w:val="CodeChangeLine"/>
        <w:shd w:val="clear" w:color="auto" w:fill="fbe9eb"/>
      </w:pPr>
      <w:r>
        <w:t>![Figure 12.28.4-1 Management of Group of Lifts: Overview](media/12_28_4_1.png)</w:t>
      </w:r>
    </w:p>
    <w:p>
      <w:pPr>
        <w:pStyle w:val="CodeChangeLine"/>
        <w:shd w:val="clear" w:color="auto" w:fill="ecfdf0"/>
      </w:pPr>
      <w:r>
        <w:t>![Figure 12.28.4.1-1 Management of Group of Lifts: Overview](media/12_28_4_1_1.png)</w:t>
      </w:r>
    </w:p>
    <w:p>
      <w:pPr>
        <w:pStyle w:val="CodeChangeLine"/>
      </w:pPr>
      <w:r/>
    </w:p>
    <w:p>
      <w:pPr>
        <w:pStyle w:val="CodeChangeLine"/>
        <w:shd w:val="clear" w:color="auto" w:fill="fbe9eb"/>
      </w:pPr>
      <w:r>
        <w:t xml:space="preserve">**Figure 12.28.4-1 Management of Group of Lifts: Overview** </w:t>
      </w:r>
    </w:p>
    <w:p>
      <w:pPr>
        <w:pStyle w:val="CodeChangeLine"/>
        <w:shd w:val="clear" w:color="auto" w:fill="ecfdf0"/>
      </w:pPr>
      <w:r>
        <w:t xml:space="preserve">**Figure 12.28.4.1-1 Management of Group of Lifts: Overview** </w:t>
      </w:r>
    </w:p>
    <w:p>
      <w:pPr>
        <w:pStyle w:val="CodeChangeLine"/>
      </w:pPr>
      <w:r/>
    </w:p>
    <w:p>
      <w:pPr>
        <w:pStyle w:val="CodeChangeLine"/>
      </w:pPr>
      <w:r/>
    </w:p>
    <w:p>
      <w:pPr>
        <w:pStyle w:val="CodeChangeLine"/>
      </w:pPr>
      <w:r>
        <w:t>#### 12.28.4.2 Source</w:t>
      </w:r>
    </w:p>
    <w:p>
      <w:pPr>
        <w:pStyle w:val="CodeHeader"/>
      </w:pPr>
      <w:r>
        <w:t>@@ -6116,6 +6076,7 @@ In the control room the operator would receive these categories of signals:</w:t>
      </w:r>
    </w:p>
    <w:p>
      <w:pPr>
        <w:pStyle w:val="CodeChangeLine"/>
      </w:pPr>
      <w:r>
        <w:t>- Alarms signals: all the alarm signals.</w:t>
      </w:r>
    </w:p>
    <w:p>
      <w:pPr>
        <w:pStyle w:val="CodeChangeLine"/>
      </w:pPr>
      <w:r>
        <w:t>- Command signal: call to a specific floor, send car to a specific floor, out of service, test ride.</w:t>
      </w:r>
    </w:p>
    <w:p>
      <w:pPr>
        <w:pStyle w:val="CodeChangeLine"/>
      </w:pPr>
      <w:r/>
    </w:p>
    <w:p>
      <w:pPr>
        <w:pStyle w:val="CodeChangeLine"/>
        <w:shd w:val="clear" w:color="auto" w:fill="ecfdf0"/>
      </w:pPr>
      <w:r/>
    </w:p>
    <w:p>
      <w:pPr>
        <w:pStyle w:val="CodeChangeLine"/>
      </w:pPr>
      <w:r>
        <w:t>#### 12.28.4.7 Alternative flow</w:t>
      </w:r>
    </w:p>
    <w:p>
      <w:pPr>
        <w:pStyle w:val="CodeChangeLine"/>
      </w:pPr>
      <w:r/>
    </w:p>
    <w:p>
      <w:pPr>
        <w:pStyle w:val="CodeChangeLine"/>
      </w:pPr>
      <w:r>
        <w:t>Another situation that the operator can manage from the control room, could be when a fault occurs and/or an alarm is activated.</w:t>
      </w:r>
    </w:p>
    <w:p>
      <w:pPr>
        <w:pStyle w:val="CodeHeader"/>
      </w:pPr>
      <w:r>
        <w:t>@@ -6136,8 +6097,7 @@ Result of test ride is notified to the railway station manager (e.g. by sending</w:t>
      </w:r>
    </w:p>
    <w:p>
      <w:pPr>
        <w:pStyle w:val="CodeChangeLine"/>
      </w:pPr>
      <w:r/>
    </w:p>
    <w:p>
      <w:pPr>
        <w:pStyle w:val="CodeChangeLine"/>
      </w:pPr>
      <w:r>
        <w:t>#### 12.28.4.9 High Level Illustration</w:t>
      </w:r>
    </w:p>
    <w:p>
      <w:pPr>
        <w:pStyle w:val="CodeChangeLine"/>
      </w:pPr>
      <w:r/>
    </w:p>
    <w:p>
      <w:pPr>
        <w:pStyle w:val="CodeChangeLine"/>
        <w:shd w:val="clear" w:color="auto" w:fill="fbe9eb"/>
      </w:pPr>
      <w:r>
        <w:t>&lt;mark&gt;Editor note: should be "None"&lt;/mark&gt;</w:t>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12.28.4.10 Potential requirements</w:t>
      </w:r>
    </w:p>
    <w:p>
      <w:pPr>
        <w:pStyle w:val="CodeHeader"/>
      </w:pPr>
      <w:r>
        <w:t>@@ -6161,11 +6121,10 @@ A typical problem is that a fault has been detected but when the maintenance tec</w:t>
      </w:r>
    </w:p>
    <w:p>
      <w:pPr>
        <w:pStyle w:val="CodeChangeLine"/>
      </w:pPr>
      <w:r/>
    </w:p>
    <w:p>
      <w:pPr>
        <w:pStyle w:val="CodeChangeLine"/>
      </w:pPr>
      <w:r>
        <w:t>In this case for the maintenance technician it is very hard to discover the fault; the best solution is that the technician of the control cabinet supplier connects to the lift from the remote position and analyses the faults; by the history of the faults recorded and the capability of analysing the single input and output of the main board, he can very quickly identify which landing door causes the fault and - usually -- understand why the fault appears.</w:t>
      </w:r>
    </w:p>
    <w:p>
      <w:pPr>
        <w:pStyle w:val="CodeChangeLine"/>
      </w:pPr>
      <w:r/>
    </w:p>
    <w:p>
      <w:pPr>
        <w:pStyle w:val="CodeChangeLine"/>
        <w:shd w:val="clear" w:color="auto" w:fill="fbe9eb"/>
      </w:pPr>
      <w:r>
        <w:t>&lt;mark&gt;Editor note: Figure number should follow the clause number&lt;/mark&gt;</w:t>
      </w:r>
    </w:p>
    <w:p>
      <w:pPr>
        <w:pStyle w:val="CodeChangeLine"/>
      </w:pPr>
      <w:r/>
    </w:p>
    <w:p>
      <w:pPr>
        <w:pStyle w:val="CodeChangeLine"/>
        <w:shd w:val="clear" w:color="auto" w:fill="fbe9eb"/>
      </w:pPr>
      <w:r>
        <w:t>![Figure 12.28.5-1 Preventive Maintenance and Fault Resolution: Overview](media/12_28_5_1.png)</w:t>
      </w:r>
    </w:p>
    <w:p>
      <w:pPr>
        <w:pStyle w:val="CodeChangeLine"/>
        <w:shd w:val="clear" w:color="auto" w:fill="ecfdf0"/>
      </w:pPr>
      <w:r>
        <w:t>![Figure 12.28.5.1-1 Preventive Maintenance and Fault Resolution: Overview](media/12_28_5_1_1.png)</w:t>
      </w:r>
    </w:p>
    <w:p>
      <w:pPr>
        <w:pStyle w:val="CodeChangeLine"/>
      </w:pPr>
      <w:r/>
    </w:p>
    <w:p>
      <w:pPr>
        <w:pStyle w:val="CodeChangeLine"/>
        <w:shd w:val="clear" w:color="auto" w:fill="fbe9eb"/>
      </w:pPr>
      <w:r>
        <w:t xml:space="preserve">**Figure 12.28.5-1 Preventive Maintenance and Fault Resolution: Overview** </w:t>
      </w:r>
    </w:p>
    <w:p>
      <w:pPr>
        <w:pStyle w:val="CodeChangeLine"/>
        <w:shd w:val="clear" w:color="auto" w:fill="ecfdf0"/>
      </w:pPr>
      <w:r>
        <w:t xml:space="preserve">**Figure 12.28.5.1-1 Preventive Maintenance and Fault Resolution: Overview** </w:t>
      </w:r>
    </w:p>
    <w:p>
      <w:pPr>
        <w:pStyle w:val="CodeChangeLine"/>
      </w:pPr>
      <w:r/>
    </w:p>
    <w:p>
      <w:pPr>
        <w:pStyle w:val="CodeChangeLine"/>
      </w:pPr>
      <w:r/>
    </w:p>
    <w:p>
      <w:pPr>
        <w:pStyle w:val="CodeChangeLine"/>
      </w:pPr>
      <w:r>
        <w:t>#### 12.28.5.2 Source</w:t>
      </w:r>
    </w:p>
    <w:p>
      <w:pPr>
        <w:pStyle w:val="CodeHeader"/>
      </w:pPr>
      <w:r>
        <w:t>@@ -6215,9 +6174,7 @@ For the fault's resolution:</w:t>
      </w:r>
    </w:p>
    <w:p>
      <w:pPr>
        <w:pStyle w:val="CodeChangeLine"/>
      </w:pPr>
      <w:r/>
    </w:p>
    <w:p>
      <w:pPr>
        <w:pStyle w:val="CodeChangeLine"/>
      </w:pPr>
      <w:r>
        <w:t>#### 12.28.5.7 Alternative flow</w:t>
      </w:r>
    </w:p>
    <w:p>
      <w:pPr>
        <w:pStyle w:val="CodeChangeLine"/>
      </w:pPr>
      <w:r/>
    </w:p>
    <w:p>
      <w:pPr>
        <w:pStyle w:val="CodeChangeLine"/>
        <w:shd w:val="clear" w:color="auto" w:fill="fbe9eb"/>
      </w:pPr>
      <w:r>
        <w:t>&lt;mark&gt;Editor note: N/A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12.28.5.8 Post-conditions</w:t>
      </w:r>
    </w:p>
    <w:p>
      <w:pPr>
        <w:pStyle w:val="CodeHeader"/>
      </w:pPr>
      <w:r>
        <w:t>@@ -6227,9 +6184,7 @@ Having received the notification of impending fault (e.g. by an e-mail report or</w:t>
      </w:r>
    </w:p>
    <w:p>
      <w:pPr>
        <w:pStyle w:val="CodeChangeLine"/>
      </w:pPr>
      <w:r/>
    </w:p>
    <w:p>
      <w:pPr>
        <w:pStyle w:val="CodeChangeLine"/>
      </w:pPr>
      <w:r>
        <w:t>#### 12.28.5.9 High Level Illustration</w:t>
      </w:r>
    </w:p>
    <w:p>
      <w:pPr>
        <w:pStyle w:val="CodeChangeLine"/>
      </w:pPr>
      <w:r/>
    </w:p>
    <w:p>
      <w:pPr>
        <w:pStyle w:val="CodeChangeLine"/>
        <w:shd w:val="clear" w:color="auto" w:fill="fbe9eb"/>
      </w:pPr>
      <w:r>
        <w:t>&lt;mark&gt;Editor note: N/A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12.28.5.10 Potential requirements</w:t>
      </w:r>
    </w:p>
    <w:p>
      <w:pPr>
        <w:pStyle w:val="CodeHeader"/>
      </w:pPr>
      <w:r>
        <w:t>@@ -6246,11 +6201,10 @@ There are some cases in which the system should manage passengers with priority</w:t>
      </w:r>
    </w:p>
    <w:p>
      <w:pPr>
        <w:pStyle w:val="CodeChangeLine"/>
      </w:pPr>
      <w:r/>
    </w:p>
    <w:p>
      <w:pPr>
        <w:pStyle w:val="CodeChangeLine"/>
      </w:pPr>
      <w:r>
        <w:t>In other cases, blind people could have a smart system when they can have access to a building more or less like all the other people, except the tactile path on the floor and/or tactile plan to understand where are the stairs, the lifts, the toilettes, etc.</w:t>
      </w:r>
    </w:p>
    <w:p>
      <w:pPr>
        <w:pStyle w:val="CodeChangeLine"/>
      </w:pPr>
      <w:r/>
    </w:p>
    <w:p>
      <w:pPr>
        <w:pStyle w:val="CodeChangeLine"/>
        <w:shd w:val="clear" w:color="auto" w:fill="fbe9eb"/>
      </w:pPr>
      <w:r>
        <w:t>&lt;mark&gt;Editor note: Figure number should follow the clause number&lt;/mark&gt;</w:t>
      </w:r>
    </w:p>
    <w:p>
      <w:pPr>
        <w:pStyle w:val="CodeChangeLine"/>
      </w:pPr>
      <w:r/>
    </w:p>
    <w:p>
      <w:pPr>
        <w:pStyle w:val="CodeChangeLine"/>
        <w:shd w:val="clear" w:color="auto" w:fill="fbe9eb"/>
      </w:pPr>
      <w:r>
        <w:t>![Figure 12.28.6-1 Servicing Priority People: Overview](media/12_28_6_1.png)</w:t>
      </w:r>
    </w:p>
    <w:p>
      <w:pPr>
        <w:pStyle w:val="CodeChangeLine"/>
        <w:shd w:val="clear" w:color="auto" w:fill="ecfdf0"/>
      </w:pPr>
      <w:r>
        <w:t>![Figure 12.28.6.1-1 Servicing Priority People: Overview](media/12_28_6_1_1.png)</w:t>
      </w:r>
    </w:p>
    <w:p>
      <w:pPr>
        <w:pStyle w:val="CodeChangeLine"/>
      </w:pPr>
      <w:r/>
    </w:p>
    <w:p>
      <w:pPr>
        <w:pStyle w:val="CodeChangeLine"/>
        <w:shd w:val="clear" w:color="auto" w:fill="fbe9eb"/>
      </w:pPr>
      <w:r>
        <w:t xml:space="preserve">**Figure 12.28.5-1 Servicing Priority People: Overview** </w:t>
      </w:r>
    </w:p>
    <w:p>
      <w:pPr>
        <w:pStyle w:val="CodeChangeLine"/>
        <w:shd w:val="clear" w:color="auto" w:fill="ecfdf0"/>
      </w:pPr>
      <w:r>
        <w:t xml:space="preserve">**Figure 12.28.6.1-1 Servicing Priority People: Overview** </w:t>
      </w:r>
    </w:p>
    <w:p>
      <w:pPr>
        <w:pStyle w:val="CodeChangeLine"/>
      </w:pPr>
      <w:r/>
    </w:p>
    <w:p>
      <w:pPr>
        <w:pStyle w:val="CodeChangeLine"/>
      </w:pPr>
      <w:r/>
    </w:p>
    <w:p>
      <w:pPr>
        <w:pStyle w:val="CodeChangeLine"/>
      </w:pPr>
      <w:r>
        <w:t>#### 12.28.6.2  Source</w:t>
      </w:r>
    </w:p>
    <w:p>
      <w:pPr>
        <w:pStyle w:val="CodeHeader"/>
      </w:pPr>
      <w:r>
        <w:t>@@ -6296,23 +6250,17 @@ All the signals,</w:t>
      </w:r>
    </w:p>
    <w:p>
      <w:pPr>
        <w:pStyle w:val="CodeChangeLine"/>
      </w:pPr>
      <w:r/>
    </w:p>
    <w:p>
      <w:pPr>
        <w:pStyle w:val="CodeChangeLine"/>
      </w:pPr>
      <w:r>
        <w:t>#### 12.28.6.7 Alternative flow</w:t>
      </w:r>
    </w:p>
    <w:p>
      <w:pPr>
        <w:pStyle w:val="CodeChangeLine"/>
      </w:pPr>
      <w:r/>
    </w:p>
    <w:p>
      <w:pPr>
        <w:pStyle w:val="CodeChangeLine"/>
        <w:shd w:val="clear" w:color="auto" w:fill="fbe9eb"/>
      </w:pPr>
      <w:r>
        <w:t>&lt;mark&gt;Editor note: N/A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12.28.6.8 Post-conditions</w:t>
      </w:r>
    </w:p>
    <w:p>
      <w:pPr>
        <w:pStyle w:val="CodeChangeLine"/>
      </w:pPr>
      <w:r/>
    </w:p>
    <w:p>
      <w:pPr>
        <w:pStyle w:val="CodeChangeLine"/>
        <w:shd w:val="clear" w:color="auto" w:fill="fbe9eb"/>
      </w:pPr>
      <w:r>
        <w:t>&lt;mark&gt;Editor note: N/A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12.28.6.9 High Level Illustration</w:t>
      </w:r>
    </w:p>
    <w:p>
      <w:pPr>
        <w:pStyle w:val="CodeChangeLine"/>
      </w:pPr>
      <w:r/>
    </w:p>
    <w:p>
      <w:pPr>
        <w:pStyle w:val="CodeChangeLine"/>
        <w:shd w:val="clear" w:color="auto" w:fill="fbe9eb"/>
      </w:pPr>
      <w:r>
        <w:t>&lt;mark&gt;Editor note: N/A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12.28.6.10 Potential requirements</w:t>
      </w:r>
    </w:p>
    <w:p>
      <w:pPr>
        <w:pStyle w:val="CodeHeader"/>
      </w:pPr>
      <w:r>
        <w:t>@@ -6321,6 +6269,7 @@ No specific new features are  currently identified as result of the analysis of</w:t>
      </w:r>
    </w:p>
    <w:p>
      <w:pPr>
        <w:pStyle w:val="CodeChangeLine"/>
      </w:pPr>
      <w:r/>
    </w:p>
    <w:p>
      <w:pPr>
        <w:pStyle w:val="CodeChangeLine"/>
      </w:pPr>
      <w:r>
        <w:t>1. oneM2M shall support Smart Lift data model and its possible evolution, e.g.  as identified in &lt;a href="#_ref_i.21"&gt;[i.21]&lt;/a&gt;.</w:t>
      </w:r>
    </w:p>
    <w:p>
      <w:pPr>
        <w:pStyle w:val="CodeChangeLine"/>
      </w:pPr>
      <w:r/>
    </w:p>
    <w:p>
      <w:pPr>
        <w:pStyle w:val="CodeChangeLine"/>
        <w:shd w:val="clear" w:color="auto" w:fill="ecfdf0"/>
      </w:pPr>
      <w:r/>
    </w:p>
    <w:p>
      <w:pPr>
        <w:pStyle w:val="CodeChangeLine"/>
      </w:pPr>
      <w:r>
        <w:t>### 12.28.7 Management of maintenance and inspection visits of the lift or group of lifts</w:t>
      </w:r>
    </w:p>
    <w:p>
      <w:pPr>
        <w:pStyle w:val="CodeChangeLine"/>
      </w:pPr>
      <w:r/>
    </w:p>
    <w:p>
      <w:pPr>
        <w:pStyle w:val="CodeChangeLine"/>
      </w:pPr>
      <w:r>
        <w:t>#### 12.28.7.1 Description</w:t>
      </w:r>
    </w:p>
    <w:p>
      <w:pPr>
        <w:pStyle w:val="CodeHeader"/>
      </w:pPr>
      <w:r>
        <w:t>@@ -6333,11 +6282,9 @@ In this case the control panel must recognize and record the access to the syste</w:t>
      </w:r>
    </w:p>
    <w:p>
      <w:pPr>
        <w:pStyle w:val="CodeChangeLine"/>
      </w:pPr>
      <w:r/>
    </w:p>
    <w:p>
      <w:pPr>
        <w:pStyle w:val="CodeChangeLine"/>
      </w:pPr>
      <w:r>
        <w:t>The owner or manager of the lift records the event and can make the data available to the owners of the building.</w:t>
      </w:r>
    </w:p>
    <w:p>
      <w:pPr>
        <w:pStyle w:val="CodeChangeLine"/>
      </w:pPr>
      <w:r/>
    </w:p>
    <w:p>
      <w:pPr>
        <w:pStyle w:val="CodeChangeLine"/>
        <w:shd w:val="clear" w:color="auto" w:fill="fbe9eb"/>
      </w:pPr>
      <w:r>
        <w:t>&lt;mark&gt;Editor note: Figure number should follow the clause number. Also: Wrong number&lt;/mark&gt;</w:t>
      </w:r>
    </w:p>
    <w:p>
      <w:pPr>
        <w:pStyle w:val="CodeChangeLine"/>
        <w:shd w:val="clear" w:color="auto" w:fill="ecfdf0"/>
      </w:pPr>
      <w:r>
        <w:t>![Figure 12.28.7.1-1 Management of maintenance and inspection visits of the lift or group of lifts: Overview](media/12_28_7_1_1.png)</w:t>
      </w:r>
    </w:p>
    <w:p>
      <w:pPr>
        <w:pStyle w:val="CodeChangeLine"/>
      </w:pPr>
      <w:r/>
    </w:p>
    <w:p>
      <w:pPr>
        <w:pStyle w:val="CodeChangeLine"/>
        <w:shd w:val="clear" w:color="auto" w:fill="fbe9eb"/>
      </w:pPr>
      <w:r>
        <w:t>![Figure 12.28.6-1 Management of maintenance and inspection visits of the lift or group of lifts: Overview](media/12_28_7_1.png)</w:t>
      </w:r>
    </w:p>
    <w:p>
      <w:pPr>
        <w:pStyle w:val="CodeChangeLine"/>
        <w:shd w:val="clear" w:color="auto" w:fill="fbe9eb"/>
      </w:pPr>
      <w:r/>
    </w:p>
    <w:p>
      <w:pPr>
        <w:pStyle w:val="CodeChangeLine"/>
        <w:shd w:val="clear" w:color="auto" w:fill="fbe9eb"/>
      </w:pPr>
      <w:r>
        <w:t xml:space="preserve">**Figure 12.28.6-1 Management of maintenance and inspection visits of the lift or group of lifts: Overview** </w:t>
      </w:r>
    </w:p>
    <w:p>
      <w:pPr>
        <w:pStyle w:val="CodeChangeLine"/>
        <w:shd w:val="clear" w:color="auto" w:fill="ecfdf0"/>
      </w:pPr>
      <w:r>
        <w:t xml:space="preserve">**Figure 12.28.7.1-1 Management of maintenance and inspection visits of the lift or group of lifts: Overview** </w:t>
      </w:r>
    </w:p>
    <w:p>
      <w:pPr>
        <w:pStyle w:val="CodeChangeLine"/>
      </w:pPr>
      <w:r/>
    </w:p>
    <w:p>
      <w:pPr>
        <w:pStyle w:val="CodeChangeLine"/>
      </w:pPr>
      <w:r/>
    </w:p>
    <w:p>
      <w:pPr>
        <w:pStyle w:val="CodeChangeLine"/>
      </w:pPr>
      <w:r>
        <w:t>#### 12.28.7.2 Source</w:t>
      </w:r>
    </w:p>
    <w:p>
      <w:pPr>
        <w:pStyle w:val="CodeHeader"/>
      </w:pPr>
      <w:r>
        <w:t>@@ -6382,9 +6329,7 @@ The plant manager receives:</w:t>
      </w:r>
    </w:p>
    <w:p>
      <w:pPr>
        <w:pStyle w:val="CodeChangeLine"/>
      </w:pPr>
      <w:r/>
    </w:p>
    <w:p>
      <w:pPr>
        <w:pStyle w:val="CodeChangeLine"/>
      </w:pPr>
      <w:r>
        <w:t>#### 12.28.7.7 Alternative flow</w:t>
      </w:r>
    </w:p>
    <w:p>
      <w:pPr>
        <w:pStyle w:val="CodeChangeLine"/>
      </w:pPr>
      <w:r/>
    </w:p>
    <w:p>
      <w:pPr>
        <w:pStyle w:val="CodeChangeLine"/>
        <w:shd w:val="clear" w:color="auto" w:fill="fbe9eb"/>
      </w:pPr>
      <w:r>
        <w:t>&lt;mark&gt;Editor note: N/A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12.28.7.8 Post-conditions</w:t>
      </w:r>
    </w:p>
    <w:p>
      <w:pPr>
        <w:pStyle w:val="CodeHeader"/>
      </w:pPr>
      <w:r>
        <w:t>@@ -6396,9 +6341,7 @@ Supervision authorities are notified that maintenance complies with regulation m</w:t>
      </w:r>
    </w:p>
    <w:p>
      <w:pPr>
        <w:pStyle w:val="CodeChangeLine"/>
      </w:pPr>
      <w:r/>
    </w:p>
    <w:p>
      <w:pPr>
        <w:pStyle w:val="CodeChangeLine"/>
      </w:pPr>
      <w:r>
        <w:t>#### 12.28.7.9 High Level Illustration</w:t>
      </w:r>
    </w:p>
    <w:p>
      <w:pPr>
        <w:pStyle w:val="CodeChangeLine"/>
      </w:pPr>
      <w:r/>
    </w:p>
    <w:p>
      <w:pPr>
        <w:pStyle w:val="CodeChangeLine"/>
        <w:shd w:val="clear" w:color="auto" w:fill="fbe9eb"/>
      </w:pPr>
      <w:r>
        <w:t>&lt;mark&gt;Editor note: N/A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12.28.7.10 Potential requirements</w:t>
      </w:r>
    </w:p>
    <w:p>
      <w:pPr>
        <w:pStyle w:val="CodeHeader"/>
      </w:pPr>
      <w:r>
        <w:t>@@ -6415,11 +6358,10 @@ This case concerns the passenger's interaction with the elevator via an applicat</w:t>
      </w:r>
    </w:p>
    <w:p>
      <w:pPr>
        <w:pStyle w:val="CodeChangeLine"/>
      </w:pPr>
      <w:r/>
    </w:p>
    <w:p>
      <w:pPr>
        <w:pStyle w:val="CodeChangeLine"/>
      </w:pPr>
      <w:r>
        <w:t>In this case, the application itself is made to provide an acknowledgment of the elevator or elevators to be used (an application can register and recognize multiple installations) via a QR Code. At this point, the passenger near the elevator can proceed to the choice of the lift, its identification and the call of the lift car on the desired floor. The application will exchange the request with the lift controller framework that will verify the ability to handle the call by bringing the cabin to the desired floor.</w:t>
      </w:r>
    </w:p>
    <w:p>
      <w:pPr>
        <w:pStyle w:val="CodeChangeLine"/>
      </w:pPr>
      <w:r/>
    </w:p>
    <w:p>
      <w:pPr>
        <w:pStyle w:val="CodeChangeLine"/>
        <w:shd w:val="clear" w:color="auto" w:fill="fbe9eb"/>
      </w:pPr>
      <w:r>
        <w:t>&lt;mark&gt;Editor note: Figure number should follow the clause number. Also: Wrong number&lt;/mark&gt;</w:t>
      </w:r>
    </w:p>
    <w:p>
      <w:pPr>
        <w:pStyle w:val="CodeChangeLine"/>
      </w:pPr>
      <w:r/>
    </w:p>
    <w:p>
      <w:pPr>
        <w:pStyle w:val="CodeChangeLine"/>
        <w:shd w:val="clear" w:color="auto" w:fill="fbe9eb"/>
      </w:pPr>
      <w:r>
        <w:t>![Figure 12.28.7-1 Call/Reserve Lift Car via Smartphone App: Overview](media/12_28_8_1.png)</w:t>
      </w:r>
    </w:p>
    <w:p>
      <w:pPr>
        <w:pStyle w:val="CodeChangeLine"/>
        <w:shd w:val="clear" w:color="auto" w:fill="ecfdf0"/>
      </w:pPr>
      <w:r>
        <w:t>![Figure 12.28.8.1-1 Call/Reserve Lift Car via Smartphone App: Overview](media/12_28_8_1_1.png)</w:t>
      </w:r>
    </w:p>
    <w:p>
      <w:pPr>
        <w:pStyle w:val="CodeChangeLine"/>
      </w:pPr>
      <w:r/>
    </w:p>
    <w:p>
      <w:pPr>
        <w:pStyle w:val="CodeChangeLine"/>
        <w:shd w:val="clear" w:color="auto" w:fill="fbe9eb"/>
      </w:pPr>
      <w:r>
        <w:t xml:space="preserve">**Figure 12.28.7-1 Call/Reserve Lift Car via Smartphone App: Overview** </w:t>
      </w:r>
    </w:p>
    <w:p>
      <w:pPr>
        <w:pStyle w:val="CodeChangeLine"/>
        <w:shd w:val="clear" w:color="auto" w:fill="ecfdf0"/>
      </w:pPr>
      <w:r>
        <w:t xml:space="preserve">**Figure 12.28.8.1-1 Call/Reserve Lift Car via Smartphone App: Overview** </w:t>
      </w:r>
    </w:p>
    <w:p>
      <w:pPr>
        <w:pStyle w:val="CodeChangeLine"/>
      </w:pPr>
      <w:r/>
    </w:p>
    <w:p>
      <w:pPr>
        <w:pStyle w:val="CodeChangeLine"/>
      </w:pPr>
      <w:r/>
    </w:p>
    <w:p>
      <w:pPr>
        <w:pStyle w:val="CodeChangeLine"/>
      </w:pPr>
      <w:r>
        <w:t>#### 12.28.8.2 Source</w:t>
      </w:r>
    </w:p>
    <w:p>
      <w:pPr>
        <w:pStyle w:val="CodeHeader"/>
      </w:pPr>
      <w:r>
        <w:t>@@ -6470,23 +6412,17 @@ Passenger receives from lift car:</w:t>
      </w:r>
    </w:p>
    <w:p>
      <w:pPr>
        <w:pStyle w:val="CodeChangeLine"/>
      </w:pPr>
      <w:r/>
    </w:p>
    <w:p>
      <w:pPr>
        <w:pStyle w:val="CodeChangeLine"/>
      </w:pPr>
      <w:r>
        <w:t>#### 12.28.8.7 Alternative flow</w:t>
      </w:r>
    </w:p>
    <w:p>
      <w:pPr>
        <w:pStyle w:val="CodeChangeLine"/>
      </w:pPr>
      <w:r/>
    </w:p>
    <w:p>
      <w:pPr>
        <w:pStyle w:val="CodeChangeLine"/>
        <w:shd w:val="clear" w:color="auto" w:fill="fbe9eb"/>
      </w:pPr>
      <w:r>
        <w:t>&lt;mark&gt;Editor note: N/A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12.28.8.8 Post-conditions</w:t>
      </w:r>
    </w:p>
    <w:p>
      <w:pPr>
        <w:pStyle w:val="CodeChangeLine"/>
      </w:pPr>
      <w:r/>
    </w:p>
    <w:p>
      <w:pPr>
        <w:pStyle w:val="CodeChangeLine"/>
        <w:shd w:val="clear" w:color="auto" w:fill="fbe9eb"/>
      </w:pPr>
      <w:r>
        <w:t>&lt;mark&gt;Editor note: N/A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12.28.8.9 High Level Illustration</w:t>
      </w:r>
    </w:p>
    <w:p>
      <w:pPr>
        <w:pStyle w:val="CodeChangeLine"/>
      </w:pPr>
      <w:r/>
    </w:p>
    <w:p>
      <w:pPr>
        <w:pStyle w:val="CodeChangeLine"/>
        <w:shd w:val="clear" w:color="auto" w:fill="fbe9eb"/>
      </w:pPr>
      <w:r>
        <w:t>&lt;mark&gt;Editor note: N/A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12.28.8.10 Potential requirements</w:t>
      </w:r>
    </w:p>
    <w:p>
      <w:pPr>
        <w:pStyle w:val="CodeHeader"/>
      </w:pPr>
      <w:r>
        <w:t>@@ -6508,10 +6444,10 @@ This use case illustrates the needs for an Advanced Semantic Discovery (ASD) wit</w:t>
      </w:r>
    </w:p>
    <w:p>
      <w:pPr>
        <w:pStyle w:val="CodeChangeLine"/>
      </w:pPr>
      <w:r/>
    </w:p>
    <w:p>
      <w:pPr>
        <w:pStyle w:val="CodeChangeLine"/>
      </w:pPr>
      <w:r>
        <w:t xml:space="preserve"> It shows the importance of formalizing: </w:t>
      </w:r>
    </w:p>
    <w:p>
      <w:pPr>
        <w:pStyle w:val="CodeChangeLine"/>
      </w:pPr>
      <w:r/>
    </w:p>
    <w:p>
      <w:pPr>
        <w:pStyle w:val="CodeChangeLine"/>
        <w:shd w:val="clear" w:color="auto" w:fill="fbe9eb"/>
      </w:pPr>
      <w:r>
        <w:t>- _an_ _Advanced Semantic Discovery Query Language_  (ASDQL) able to write Advanced Semantic Discovery Query (ASDQ);</w:t>
      </w:r>
    </w:p>
    <w:p>
      <w:pPr>
        <w:pStyle w:val="CodeChangeLine"/>
        <w:shd w:val="clear" w:color="auto" w:fill="fbe9eb"/>
      </w:pPr>
      <w:r>
        <w:t>- _a_ _Semantic Discovery Routing_ _Protocol_  (SDRP) to route an _Advanced_ _Semantic_ _Discovery_ _Query_  (ASDQ) between different CSEs;</w:t>
      </w:r>
    </w:p>
    <w:p>
      <w:pPr>
        <w:pStyle w:val="CodeChangeLine"/>
        <w:shd w:val="clear" w:color="auto" w:fill="fbe9eb"/>
      </w:pPr>
      <w:r>
        <w:t>- _a_ _Semantic Discovery Agreement_  (SDA), to state some communication agreements between CSEs;</w:t>
      </w:r>
    </w:p>
    <w:p>
      <w:pPr>
        <w:pStyle w:val="CodeChangeLine"/>
        <w:shd w:val="clear" w:color="auto" w:fill="fbe9eb"/>
      </w:pPr>
      <w:r>
        <w:t>- _a_ _Semantic Query Resolution_ _functionality_ (SQR) allowing to locally resolve an Advanced Semantic Discovery Query (ASDQ) into some elementary standard oneM2M Semantic Discovery Queries (SDQ).</w:t>
      </w:r>
    </w:p>
    <w:p>
      <w:pPr>
        <w:pStyle w:val="CodeChangeLine"/>
        <w:shd w:val="clear" w:color="auto" w:fill="ecfdf0"/>
      </w:pPr>
      <w:r>
        <w:t>- _an Advanced Semantic Discovery Query Language_ (ASDQL) able to write Advanced Semantic Discovery Query (ASDQ);</w:t>
      </w:r>
    </w:p>
    <w:p>
      <w:pPr>
        <w:pStyle w:val="CodeChangeLine"/>
        <w:shd w:val="clear" w:color="auto" w:fill="ecfdf0"/>
      </w:pPr>
      <w:r>
        <w:t>- _a Semantic Discovery Routing Protocol_ (SDRP) to route an _Advanced Semantic Discovery Query_ (ASDQ) between different CSEs;</w:t>
      </w:r>
    </w:p>
    <w:p>
      <w:pPr>
        <w:pStyle w:val="CodeChangeLine"/>
        <w:shd w:val="clear" w:color="auto" w:fill="ecfdf0"/>
      </w:pPr>
      <w:r>
        <w:t>- _a Semantic Discovery Agreement_ (SDA), to state some communication agreements between CSEs;</w:t>
      </w:r>
    </w:p>
    <w:p>
      <w:pPr>
        <w:pStyle w:val="CodeChangeLine"/>
        <w:shd w:val="clear" w:color="auto" w:fill="ecfdf0"/>
      </w:pPr>
      <w:r>
        <w:t>- _a Semantic Query Resolution functionality_ (SQR) allowing to locally resolve an Advanced Semantic Discovery Query (ASDQ) into some elementary standard oneM2M Semantic Discovery Queries (SDQ).</w:t>
      </w:r>
    </w:p>
    <w:p>
      <w:pPr>
        <w:pStyle w:val="CodeChangeLine"/>
      </w:pPr>
      <w:r/>
    </w:p>
    <w:p>
      <w:pPr>
        <w:pStyle w:val="CodeChangeLine"/>
      </w:pPr>
      <w:r>
        <w:t>The concepts included in the present use case is intensively used in the following clauses of the present document, namely:</w:t>
      </w:r>
    </w:p>
    <w:p>
      <w:pPr>
        <w:pStyle w:val="CodeChangeLine"/>
      </w:pPr>
      <w:r/>
    </w:p>
    <w:p>
      <w:pPr>
        <w:pStyle w:val="CodeHeader"/>
      </w:pPr>
      <w:r>
        <w:t>@@ -6529,10 +6465,10 @@ RDM-2020-0035R03-Semantic_discovery_with_multiple_M2M_SP</w:t>
      </w:r>
    </w:p>
    <w:p>
      <w:pPr>
        <w:pStyle w:val="CodeChangeLine"/>
      </w:pPr>
      <w:r/>
    </w:p>
    <w:p>
      <w:pPr>
        <w:pStyle w:val="CodeChangeLine"/>
      </w:pPr>
      <w:r>
        <w:t>### 12.29.3 Actors</w:t>
      </w:r>
    </w:p>
    <w:p>
      <w:pPr>
        <w:pStyle w:val="CodeChangeLine"/>
      </w:pPr>
      <w:r/>
    </w:p>
    <w:p>
      <w:pPr>
        <w:pStyle w:val="CodeChangeLine"/>
        <w:shd w:val="clear" w:color="auto" w:fill="fbe9eb"/>
      </w:pPr>
      <w:r>
        <w:t>- 5 _Application Entities_  (AE) X of type T1, Y of type T2, Z of type T3, V of type T4, and W of type T5.</w:t>
      </w:r>
    </w:p>
    <w:p>
      <w:pPr>
        <w:pStyle w:val="CodeChangeLine"/>
        <w:shd w:val="clear" w:color="auto" w:fill="fbe9eb"/>
      </w:pPr>
      <w:r>
        <w:t>- 2 _Middle Node Common Service Entities_  (MN-CSE) P, and Q.</w:t>
      </w:r>
    </w:p>
    <w:p>
      <w:pPr>
        <w:pStyle w:val="CodeChangeLine"/>
        <w:shd w:val="clear" w:color="auto" w:fill="ecfdf0"/>
      </w:pPr>
      <w:r>
        <w:t>- 5 _Application Entities_ (AE) X of type T1, Y of type T2, Z of type T3, V of type T4, and W of type T5.</w:t>
      </w:r>
    </w:p>
    <w:p>
      <w:pPr>
        <w:pStyle w:val="CodeChangeLine"/>
        <w:shd w:val="clear" w:color="auto" w:fill="ecfdf0"/>
      </w:pPr>
      <w:r>
        <w:t>- 2 _Middle Node Common Service Entities_ (MN-CSE) P, and Q.</w:t>
      </w:r>
    </w:p>
    <w:p>
      <w:pPr>
        <w:pStyle w:val="CodeChangeLine"/>
      </w:pPr>
      <w:r>
        <w:t>- A MN-CSE has a local database containing information on their registered AE. The local database includes location information (where each device is presently located), the device type, etc. Let P and Q have some Semantic Discovery Agreement (SDA) with A. Semantic Discovery Agreement (SDA) can be relaxed inside a single Service Provider, see Note 2 of Definition 2.</w:t>
      </w:r>
    </w:p>
    <w:p>
      <w:pPr>
        <w:pStyle w:val="CodeChangeLine"/>
        <w:shd w:val="clear" w:color="auto" w:fill="fbe9eb"/>
      </w:pPr>
      <w:r>
        <w:t>- 4 _Infrastructure Node Common Service Entities_  (IN-CSE) A, B, C, and D.</w:t>
      </w:r>
    </w:p>
    <w:p>
      <w:pPr>
        <w:pStyle w:val="CodeChangeLine"/>
        <w:shd w:val="clear" w:color="auto" w:fill="ecfdf0"/>
      </w:pPr>
      <w:r>
        <w:t>- 4 _Infrastructure Node Common Service Entities_ (IN-CSE) A, B, C, and D.</w:t>
      </w:r>
    </w:p>
    <w:p>
      <w:pPr>
        <w:pStyle w:val="CodeChangeLine"/>
      </w:pPr>
      <w:r>
        <w:t>- An IN-CSE has a local database containing information on their registered MN-CSEs and AEs. The local database includes location information (where each device is currently located), the device type, etc. Let A, B, C, and D have some Semantic Discovery Agreement (SDA) among each other's.</w:t>
      </w:r>
    </w:p>
    <w:p>
      <w:pPr>
        <w:pStyle w:val="CodeChangeLine"/>
      </w:pPr>
      <w:r/>
    </w:p>
    <w:p>
      <w:pPr>
        <w:pStyle w:val="CodeChangeLine"/>
      </w:pPr>
      <w:r/>
    </w:p>
    <w:p>
      <w:pPr>
        <w:pStyle w:val="CodeHeader"/>
      </w:pPr>
      <w:r>
        <w:t>@@ -6647,11 +6583,9 @@ X can start to interact with Y, Z, V, and W.</w:t>
      </w:r>
    </w:p>
    <w:p>
      <w:pPr>
        <w:pStyle w:val="CodeChangeLine"/>
      </w:pPr>
      <w:r/>
    </w:p>
    <w:p>
      <w:pPr>
        <w:pStyle w:val="CodeChangeLine"/>
      </w:pPr>
      <w:r>
        <w:t>### 12.29.9 High Level Illustrations</w:t>
      </w:r>
    </w:p>
    <w:p>
      <w:pPr>
        <w:pStyle w:val="CodeChangeLine"/>
      </w:pPr>
      <w:r/>
    </w:p>
    <w:p>
      <w:pPr>
        <w:pStyle w:val="CodeChangeLine"/>
        <w:shd w:val="clear" w:color="auto" w:fill="fbe9eb"/>
      </w:pPr>
      <w:r>
        <w:t>&lt;mark&gt;Editor note: Figure number should follow the clause number&lt;/mark&gt;</w:t>
      </w:r>
    </w:p>
    <w:p>
      <w:pPr>
        <w:pStyle w:val="CodeChangeLine"/>
        <w:shd w:val="clear" w:color="auto" w:fill="fbe9eb"/>
      </w:pPr>
      <w:r/>
    </w:p>
    <w:p>
      <w:pPr>
        <w:pStyle w:val="CodeChangeLine"/>
        <w:shd w:val="clear" w:color="auto" w:fill="fbe9eb"/>
      </w:pPr>
      <w:r>
        <w:t>![Figure 12.20.9-1 - Illustration for multiple service providers semantic discovery use case](media/12_29_9_1.png)</w:t>
      </w:r>
    </w:p>
    <w:p>
      <w:pPr>
        <w:pStyle w:val="CodeChangeLine"/>
        <w:shd w:val="clear" w:color="auto" w:fill="ecfdf0"/>
      </w:pPr>
      <w:r>
        <w:t>![Figure 12.29.9-1 - Illustration for multiple service providers semantic discovery use case](media/12_29_9_1.png)</w:t>
      </w:r>
    </w:p>
    <w:p>
      <w:pPr>
        <w:pStyle w:val="CodeChangeLine"/>
      </w:pPr>
      <w:r/>
    </w:p>
    <w:p>
      <w:pPr>
        <w:pStyle w:val="CodeChangeLine"/>
        <w:shd w:val="clear" w:color="auto" w:fill="fbe9eb"/>
      </w:pPr>
      <w:r>
        <w:t>**Figure 12.20.11 - Illustration for multiple service providers semantic discovery use case**</w:t>
      </w:r>
    </w:p>
    <w:p>
      <w:pPr>
        <w:pStyle w:val="CodeChangeLine"/>
        <w:shd w:val="clear" w:color="auto" w:fill="ecfdf0"/>
      </w:pPr>
      <w:r>
        <w:t>**Figure 12.29.9-1 - Illustration for multiple service providers semantic discovery use case**</w:t>
      </w:r>
    </w:p>
    <w:p>
      <w:pPr>
        <w:pStyle w:val="CodeChangeLine"/>
      </w:pPr>
      <w:r/>
    </w:p>
    <w:p>
      <w:pPr>
        <w:pStyle w:val="CodeChangeLine"/>
      </w:pPr>
      <w:r/>
    </w:p>
    <w:p>
      <w:pPr>
        <w:pStyle w:val="CodeChangeLine"/>
      </w:pPr>
      <w:r>
        <w:t>### 12.29.10 Potential requirements</w:t>
      </w:r>
    </w:p>
    <w:p>
      <w:pPr>
        <w:pStyle w:val="CodeHeader"/>
      </w:pPr>
      <w:r>
        <w:t>@@ -6660,7 +6594,6 @@ The oneM2M system shall provide mechanisms for Advanced Semantic Discovery (ASD)</w:t>
      </w:r>
    </w:p>
    <w:p>
      <w:pPr>
        <w:pStyle w:val="CodeChangeLine"/>
      </w:pPr>
      <w:r/>
    </w:p>
    <w:p>
      <w:pPr>
        <w:pStyle w:val="CodeChangeLine"/>
      </w:pPr>
      <w:r>
        <w:t xml:space="preserve">A CSE receiving an Advanced Semantic Discovery Query (ASDQ) shall extract the Semantic Discovery Query (SDQ), embedded in the packet payload, and shall resolve the query with respect to the locally available information and shall forward to other suitable CSEs the Advanced Semantic Discovery Query (ASDQ) to complete the discovery. </w:t>
      </w:r>
    </w:p>
    <w:p>
      <w:pPr>
        <w:pStyle w:val="CodeChangeLine"/>
      </w:pPr>
      <w:r/>
    </w:p>
    <w:p>
      <w:pPr>
        <w:pStyle w:val="CodeChangeLine"/>
        <w:shd w:val="clear" w:color="auto" w:fill="fbe9eb"/>
      </w:pPr>
      <w:r>
        <w:t>&lt;mark&gt;Editor note: The following number list seems to be wrong.&lt;/mark&gt;</w:t>
      </w:r>
    </w:p>
    <w:p>
      <w:pPr>
        <w:pStyle w:val="CodeChangeLine"/>
      </w:pPr>
      <w:r/>
    </w:p>
    <w:p>
      <w:pPr>
        <w:pStyle w:val="CodeChangeLine"/>
      </w:pPr>
      <w:r>
        <w:t>More specifically, the oneM2M system shall provide:</w:t>
      </w:r>
    </w:p>
    <w:p>
      <w:pPr>
        <w:pStyle w:val="CodeChangeLine"/>
      </w:pPr>
      <w:r/>
    </w:p>
    <w:p>
      <w:pPr>
        <w:pStyle w:val="CodeHeader"/>
      </w:pPr>
      <w:r>
        <w:t>@@ -6736,9 +6669,7 @@ The IoT energy devices, or a technician, send first an Advanced Semantic Discove</w:t>
      </w:r>
    </w:p>
    <w:p>
      <w:pPr>
        <w:pStyle w:val="CodeChangeLine"/>
      </w:pPr>
      <w:r/>
    </w:p>
    <w:p>
      <w:pPr>
        <w:pStyle w:val="CodeChangeLine"/>
      </w:pPr>
      <w:r>
        <w:t>### 12.30.7 Alternative Flow</w:t>
      </w:r>
    </w:p>
    <w:p>
      <w:pPr>
        <w:pStyle w:val="CodeChangeLine"/>
      </w:pPr>
      <w:r/>
    </w:p>
    <w:p>
      <w:pPr>
        <w:pStyle w:val="CodeChangeLine"/>
        <w:shd w:val="clear" w:color="auto" w:fill="fbe9eb"/>
      </w:pPr>
      <w:r>
        <w:t>&lt;mark&gt;Editor note: Editor note: void or None?&lt;/mark&gt;</w:t>
      </w:r>
    </w:p>
    <w:p>
      <w:pPr>
        <w:pStyle w:val="CodeChangeLine"/>
        <w:shd w:val="clear" w:color="auto" w:fill="fbe9eb"/>
      </w:pPr>
      <w:r/>
    </w:p>
    <w:p>
      <w:pPr>
        <w:pStyle w:val="CodeChangeLine"/>
        <w:shd w:val="clear" w:color="auto" w:fill="fbe9eb"/>
      </w:pPr>
      <w:r>
        <w:t>\-void-</w:t>
      </w:r>
    </w:p>
    <w:p>
      <w:pPr>
        <w:pStyle w:val="CodeChangeLine"/>
        <w:shd w:val="clear" w:color="auto" w:fill="ecfdf0"/>
      </w:pPr>
      <w:r>
        <w:t>None</w:t>
      </w:r>
    </w:p>
    <w:p>
      <w:pPr>
        <w:pStyle w:val="CodeChangeLine"/>
      </w:pPr>
      <w:r/>
    </w:p>
    <w:p>
      <w:pPr>
        <w:pStyle w:val="CodeChangeLine"/>
      </w:pPr>
      <w:r/>
    </w:p>
    <w:p>
      <w:pPr>
        <w:pStyle w:val="CodeChangeLine"/>
      </w:pPr>
      <w:r>
        <w:t>### 12.30.8 Post-Conditions</w:t>
      </w:r>
    </w:p>
    <w:p>
      <w:pPr>
        <w:pStyle w:val="CodeHeader"/>
      </w:pPr>
      <w:r>
        <w:t>@@ -6844,8 +6775,6 @@ The facility manager, the API "Facility management", the M2M Service Provider 3</w:t>
      </w:r>
    </w:p>
    <w:p>
      <w:pPr>
        <w:pStyle w:val="CodeChangeLine"/>
      </w:pPr>
      <w:r/>
    </w:p>
    <w:p>
      <w:pPr>
        <w:pStyle w:val="CodeChangeLine"/>
      </w:pPr>
      <w:r>
        <w:t>### 12.31.9 High Level Illustration</w:t>
      </w:r>
    </w:p>
    <w:p>
      <w:pPr>
        <w:pStyle w:val="CodeChangeLine"/>
      </w:pPr>
      <w:r/>
    </w:p>
    <w:p>
      <w:pPr>
        <w:pStyle w:val="CodeChangeLine"/>
        <w:shd w:val="clear" w:color="auto" w:fill="fbe9eb"/>
      </w:pPr>
      <w:r>
        <w:t>&lt;mark&gt;Editor note: Figure number should follow the clause number&lt;/mark&gt;</w:t>
      </w:r>
    </w:p>
    <w:p>
      <w:pPr>
        <w:pStyle w:val="CodeChangeLine"/>
        <w:shd w:val="clear" w:color="auto" w:fill="fbe9eb"/>
      </w:pPr>
      <w:r/>
    </w:p>
    <w:p>
      <w:pPr>
        <w:pStyle w:val="CodeChangeLine"/>
      </w:pPr>
      <w:r>
        <w:t>![Figure 12.30.9-1 - Facility management of a supermarket chain](media/12_31_9_1.png)</w:t>
      </w:r>
    </w:p>
    <w:p>
      <w:pPr>
        <w:pStyle w:val="CodeChangeLine"/>
      </w:pPr>
      <w:r/>
    </w:p>
    <w:p>
      <w:pPr>
        <w:pStyle w:val="CodeChangeLine"/>
      </w:pPr>
      <w:r>
        <w:t>**Figure 12.30.9-1 - Facility management of a supermarket chain**</w:t>
      </w:r>
    </w:p>
    <w:p>
      <w:pPr>
        <w:pStyle w:val="CodeHeader"/>
      </w:pPr>
      <w:r>
        <w:t>@@ -6912,9 +6841,11 @@ RDM-2020-0030R04-Healthcare_network_and_clinical_knowledge_administration</w:t>
      </w:r>
    </w:p>
    <w:p>
      <w:pPr>
        <w:pStyle w:val="CodeChangeLine"/>
      </w:pPr>
      <w:r/>
    </w:p>
    <w:p>
      <w:pPr>
        <w:pStyle w:val="CodeChangeLine"/>
      </w:pPr>
      <w:r>
        <w:t>M2M devices in the patients / the elderly homes and fitness locations have been installed and registered to their corresponding M2M Service Provider. In this use case, the devices are represented by ADN registered to MN-CSEs.</w:t>
      </w:r>
    </w:p>
    <w:p>
      <w:pPr>
        <w:pStyle w:val="CodeChangeLine"/>
      </w:pPr>
      <w:r/>
    </w:p>
    <w:p>
      <w:pPr>
        <w:pStyle w:val="CodeChangeLine"/>
        <w:shd w:val="clear" w:color="auto" w:fill="fbe9eb"/>
      </w:pPr>
      <w:r>
        <w:t>The M2M Application Providers 1, 2 and 3 have relationships one with each other.&lt;br /&gt;The M2M Service Providers 1 and 2 host information on the devices located in the patients / the elderly homes and fitness locations.</w:t>
      </w:r>
    </w:p>
    <w:p>
      <w:pPr>
        <w:pStyle w:val="CodeChangeLine"/>
        <w:shd w:val="clear" w:color="auto" w:fill="ecfdf0"/>
      </w:pPr>
      <w:r>
        <w:t xml:space="preserve">The M2M Application Providers 1, 2 and 3 have relationships one with each other.  </w:t>
      </w:r>
    </w:p>
    <w:p>
      <w:pPr>
        <w:pStyle w:val="CodeChangeLine"/>
        <w:shd w:val="clear" w:color="auto" w:fill="ecfdf0"/>
      </w:pPr>
      <w:r>
        <w:t>The M2M Service Providers 1 and 2 host information on the devices located in the patients / the elderly homes and fitness locations.</w:t>
      </w:r>
    </w:p>
    <w:p>
      <w:pPr>
        <w:pStyle w:val="CodeChangeLine"/>
      </w:pPr>
      <w:r/>
    </w:p>
    <w:p>
      <w:pPr>
        <w:pStyle w:val="CodeChangeLine"/>
        <w:shd w:val="clear" w:color="auto" w:fill="fbe9eb"/>
      </w:pPr>
      <w:r>
        <w:t>The doctors and caring people want to make use of the devices in the patients / the elderly homes and fitness locations in order to check the health or behavioural data of the patients as a way of inferring their overall health and detecting changes that may require a doctor's or some other person's attention.&lt;br /&gt;The emergency supervisor is operating the Intelligent Emergency Response System and manages alarms.</w:t>
      </w:r>
    </w:p>
    <w:p>
      <w:pPr>
        <w:pStyle w:val="CodeChangeLine"/>
        <w:shd w:val="clear" w:color="auto" w:fill="ecfdf0"/>
      </w:pPr>
      <w:r>
        <w:t xml:space="preserve">The doctors and caring people want to make use of the devices in the patients / the elderly homes and fitness locations in order to check the health or behavioural data of the patients as a way of inferring their overall health and detecting changes that may require a doctor's or some other person's attention.  </w:t>
      </w:r>
    </w:p>
    <w:p>
      <w:pPr>
        <w:pStyle w:val="CodeChangeLine"/>
        <w:shd w:val="clear" w:color="auto" w:fill="ecfdf0"/>
      </w:pPr>
      <w:r>
        <w:t>The emergency supervisor is operating the Intelligent Emergency Response System and manages alarms.</w:t>
      </w:r>
    </w:p>
    <w:p>
      <w:pPr>
        <w:pStyle w:val="CodeChangeLine"/>
      </w:pPr>
      <w:r/>
    </w:p>
    <w:p>
      <w:pPr>
        <w:pStyle w:val="CodeChangeLine"/>
      </w:pPr>
      <w:r>
        <w:t>The M2M Service Provider 3 wants to access data from of the M2M Service Providers 1 and 2 in order to manage its knowledge data basis and to update analysis results, recommendations and guidelines.</w:t>
      </w:r>
    </w:p>
    <w:p>
      <w:pPr>
        <w:pStyle w:val="CodeChangeLine"/>
      </w:pPr>
      <w:r/>
    </w:p>
    <w:p>
      <w:pPr>
        <w:pStyle w:val="CodeHeader"/>
      </w:pPr>
      <w:r>
        <w:t>@@ -7017,9 +6948,7 @@ None</w:t>
      </w:r>
    </w:p>
    <w:p>
      <w:pPr>
        <w:pStyle w:val="CodeChangeLine"/>
      </w:pPr>
      <w:r/>
    </w:p>
    <w:p>
      <w:pPr>
        <w:pStyle w:val="CodeChangeLine"/>
      </w:pPr>
      <w:r>
        <w:t>### 12.33.8 Post-conditions</w:t>
      </w:r>
    </w:p>
    <w:p>
      <w:pPr>
        <w:pStyle w:val="CodeChangeLine"/>
      </w:pPr>
      <w:r/>
    </w:p>
    <w:p>
      <w:pPr>
        <w:pStyle w:val="CodeChangeLine"/>
        <w:shd w:val="clear" w:color="auto" w:fill="fbe9eb"/>
      </w:pPr>
      <w:r>
        <w:t>&lt;mark&gt;Editor note: void or None?&lt;/mark&gt;</w:t>
      </w:r>
    </w:p>
    <w:p>
      <w:pPr>
        <w:pStyle w:val="CodeChangeLine"/>
        <w:shd w:val="clear" w:color="auto" w:fill="fbe9eb"/>
      </w:pPr>
      <w:r/>
    </w:p>
    <w:p>
      <w:pPr>
        <w:pStyle w:val="CodeChangeLine"/>
        <w:shd w:val="clear" w:color="auto" w:fill="fbe9eb"/>
      </w:pPr>
      <w:r>
        <w:t>N/A</w:t>
      </w:r>
    </w:p>
    <w:p>
      <w:pPr>
        <w:pStyle w:val="CodeChangeLine"/>
        <w:shd w:val="clear" w:color="auto" w:fill="ecfdf0"/>
      </w:pPr>
      <w:r>
        <w:t>None</w:t>
      </w:r>
    </w:p>
    <w:p>
      <w:pPr>
        <w:pStyle w:val="CodeChangeLine"/>
      </w:pPr>
      <w:r/>
    </w:p>
    <w:p>
      <w:pPr>
        <w:pStyle w:val="CodeChangeLine"/>
      </w:pPr>
      <w:r/>
    </w:p>
    <w:p>
      <w:pPr>
        <w:pStyle w:val="CodeChangeLine"/>
      </w:pPr>
      <w:r>
        <w:t>### 12.33.9 High Level Illustration</w:t>
      </w:r>
    </w:p>
    <w:p>
      <w:pPr>
        <w:pStyle w:val="CodeHeader"/>
      </w:pPr>
      <w:r>
        <w:t>@@ -7088,12 +7017,12 @@ The normal message flow is described as follows:</w:t>
      </w:r>
    </w:p>
    <w:p>
      <w:pPr>
        <w:pStyle w:val="CodeChangeLine"/>
      </w:pPr>
      <w:r/>
    </w:p>
    <w:p>
      <w:pPr>
        <w:pStyle w:val="CodeChangeLine"/>
      </w:pPr>
      <w:r>
        <w:t>### 12.34.7 Alternative flow</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12.34.8 Post-conditions</w:t>
      </w:r>
    </w:p>
    <w:p>
      <w:pPr>
        <w:pStyle w:val="CodeChangeLine"/>
      </w:pPr>
      <w:r/>
    </w:p>
    <w:p>
      <w:pPr>
        <w:pStyle w:val="CodeChangeLine"/>
        <w:shd w:val="clear" w:color="auto" w:fill="fbe9eb"/>
      </w:pPr>
      <w:r>
        <w:t>None.</w:t>
      </w:r>
    </w:p>
    <w:p>
      <w:pPr>
        <w:pStyle w:val="CodeChangeLine"/>
        <w:shd w:val="clear" w:color="auto" w:fill="ecfdf0"/>
      </w:pPr>
      <w:r>
        <w:t>None</w:t>
      </w:r>
    </w:p>
    <w:p>
      <w:pPr>
        <w:pStyle w:val="CodeChangeLine"/>
      </w:pPr>
      <w:r/>
    </w:p>
    <w:p>
      <w:pPr>
        <w:pStyle w:val="CodeChangeLine"/>
      </w:pPr>
      <w:r/>
    </w:p>
    <w:p>
      <w:pPr>
        <w:pStyle w:val="CodeChangeLine"/>
      </w:pPr>
      <w:r>
        <w:t>### 12.34.9 High Level Illustration</w:t>
      </w:r>
    </w:p>
    <w:p>
      <w:pPr>
        <w:pStyle w:val="CodeHeader"/>
      </w:pPr>
      <w:r>
        <w:t>@@ -7138,7 +7067,7 @@ RDM-2019-0080R02-Access\_Control\_Using\_several\_tokens</w:t>
      </w:r>
    </w:p>
    <w:p>
      <w:pPr>
        <w:pStyle w:val="CodeChangeLine"/>
      </w:pPr>
      <w:r>
        <w:t xml:space="preserve">- Each actor is associated to a _role_ </w:t>
      </w:r>
    </w:p>
    <w:p>
      <w:pPr>
        <w:pStyle w:val="CodeChangeLine"/>
      </w:pPr>
      <w:r>
        <w:t>- **Management Hub** manages the resources exposure based on actors _role_ . And validates all tokens used for device management.</w:t>
      </w:r>
    </w:p>
    <w:p>
      <w:pPr>
        <w:pStyle w:val="CodeChangeLine"/>
      </w:pPr>
      <w:r>
        <w:t>- DAS\_O (Dynamic Authorisation Server - Owner) provides token(s) based on the permissions/settings controlled by the Owner</w:t>
      </w:r>
    </w:p>
    <w:p>
      <w:pPr>
        <w:pStyle w:val="CodeChangeLine"/>
        <w:shd w:val="clear" w:color="auto" w:fill="fbe9eb"/>
      </w:pPr>
      <w:r>
        <w:t>-  DAS\_M (Dynamic Authorisation Server - Maintainer) provides token(s) based on the permissions/settings controlled by the Maintainer</w:t>
      </w:r>
    </w:p>
    <w:p>
      <w:pPr>
        <w:pStyle w:val="CodeChangeLine"/>
        <w:shd w:val="clear" w:color="auto" w:fill="ecfdf0"/>
      </w:pPr>
      <w:r>
        <w:t>- DAS\_M (Dynamic Authorisation Server - Maintainer) provides token(s) based on the permissions/settings controlled by the Maintainer</w:t>
      </w:r>
    </w:p>
    <w:p>
      <w:pPr>
        <w:pStyle w:val="CodeChangeLine"/>
      </w:pPr>
      <w:r/>
    </w:p>
    <w:p>
      <w:pPr>
        <w:pStyle w:val="CodeChangeLine"/>
      </w:pPr>
      <w:r/>
    </w:p>
    <w:p>
      <w:pPr>
        <w:pStyle w:val="CodeChangeLine"/>
      </w:pPr>
      <w:r>
        <w:t>### 12.35.5 Triggers</w:t>
      </w:r>
    </w:p>
    <w:p>
      <w:pPr>
        <w:pStyle w:val="CodeHeader"/>
      </w:pPr>
      <w:r>
        <w:t>@@ -7148,9 +7077,7 @@ The administrator from Maintainer (M) wants to modify the firmware (sensitive de</w:t>
      </w:r>
    </w:p>
    <w:p>
      <w:pPr>
        <w:pStyle w:val="CodeChangeLine"/>
      </w:pPr>
      <w:r/>
    </w:p>
    <w:p>
      <w:pPr>
        <w:pStyle w:val="CodeChangeLine"/>
      </w:pPr>
      <w:r>
        <w:t>### 12.35.6 Normal Flow</w:t>
      </w:r>
    </w:p>
    <w:p>
      <w:pPr>
        <w:pStyle w:val="CodeChangeLine"/>
      </w:pPr>
      <w:r/>
    </w:p>
    <w:p>
      <w:pPr>
        <w:pStyle w:val="CodeChangeLine"/>
        <w:shd w:val="clear" w:color="auto" w:fill="fbe9eb"/>
      </w:pPr>
      <w:r>
        <w:t>&lt;mark&gt;Editor note: correct spelling in the following text&lt;/mark&gt;</w:t>
      </w:r>
    </w:p>
    <w:p>
      <w:pPr>
        <w:pStyle w:val="CodeChangeLine"/>
        <w:shd w:val="clear" w:color="auto" w:fill="fbe9eb"/>
      </w:pPr>
      <w:r/>
    </w:p>
    <w:p>
      <w:pPr>
        <w:pStyle w:val="CodeChangeLine"/>
        <w:shd w:val="clear" w:color="auto" w:fill="fbe9eb"/>
      </w:pPr>
      <w:r>
        <w:t>Figure 12.35.6-1 illusrates the high-level flows of a use case showing how Maintainer process to update a Firmware of the devices which consists  of the following steps:</w:t>
      </w:r>
    </w:p>
    <w:p>
      <w:pPr>
        <w:pStyle w:val="CodeChangeLine"/>
        <w:shd w:val="clear" w:color="auto" w:fill="ecfdf0"/>
      </w:pPr>
      <w:r>
        <w:t>Figure 12.35.6-1 illustrates the high-level flows of a use case showing how Maintainer process to update a Firmware of the devices which consists  of the following steps:</w:t>
      </w:r>
    </w:p>
    <w:p>
      <w:pPr>
        <w:pStyle w:val="CodeChangeLine"/>
      </w:pPr>
      <w:r/>
    </w:p>
    <w:p>
      <w:pPr>
        <w:pStyle w:val="CodeChangeLine"/>
      </w:pPr>
      <w:r>
        <w:t>- Maintainer requests firmware update (via remote access tool)</w:t>
      </w:r>
    </w:p>
    <w:p>
      <w:pPr>
        <w:pStyle w:val="CodeChangeLine"/>
      </w:pPr>
      <w:r>
        <w:tab/>
        <w:t>- 1.1 Devices Management Hub detects that this request requires authorization from DAS\_M (Dynamic Authorisation Server - Maintainer)</w:t>
      </w:r>
    </w:p>
    <w:p>
      <w:pPr>
        <w:pStyle w:val="CodeHeader"/>
      </w:pPr>
      <w:r>
        <w:t>@@ -7236,11 +7163,10 @@ The identification scheme of an object's identifier is required to be automatica</w:t>
      </w:r>
    </w:p>
    <w:p>
      <w:pPr>
        <w:pStyle w:val="CodeChangeLine"/>
      </w:pPr>
      <w:r/>
    </w:p>
    <w:p>
      <w:pPr>
        <w:pStyle w:val="CodeChangeLine"/>
      </w:pPr>
      <w:r>
        <w:t>The normal message flow is described as follows:</w:t>
      </w:r>
    </w:p>
    <w:p>
      <w:pPr>
        <w:pStyle w:val="CodeChangeLine"/>
      </w:pPr>
      <w:r>
        <w:t xml:space="preserve">  </w:t>
      </w:r>
    </w:p>
    <w:p>
      <w:pPr>
        <w:pStyle w:val="CodeChangeLine"/>
        <w:shd w:val="clear" w:color="auto" w:fill="fbe9eb"/>
      </w:pPr>
      <w:r>
        <w:t>&lt;mark&gt;Editor note: Figure number should follow the clause number&lt;/mark&gt;</w:t>
      </w:r>
    </w:p>
    <w:p>
      <w:pPr>
        <w:pStyle w:val="CodeChangeLine"/>
      </w:pPr>
      <w:r/>
    </w:p>
    <w:p>
      <w:pPr>
        <w:pStyle w:val="CodeChangeLine"/>
        <w:shd w:val="clear" w:color="auto" w:fill="fbe9eb"/>
      </w:pPr>
      <w:r>
        <w:t>![Figure 1.1.6-1: Message flow for automatic recognition of identification schemes for heterogeneous IoT identifiers](media/12_36_6_1.png)</w:t>
      </w:r>
    </w:p>
    <w:p>
      <w:pPr>
        <w:pStyle w:val="CodeChangeLine"/>
        <w:shd w:val="clear" w:color="auto" w:fill="ecfdf0"/>
      </w:pPr>
      <w:r>
        <w:t>![Figure 12.36.6-1: Message flow for automatic recognition of identification schemes for heterogeneous IoT identifiers](media/12_36_6_1.png)</w:t>
      </w:r>
    </w:p>
    <w:p>
      <w:pPr>
        <w:pStyle w:val="CodeChangeLine"/>
      </w:pPr>
      <w:r/>
    </w:p>
    <w:p>
      <w:pPr>
        <w:pStyle w:val="CodeChangeLine"/>
        <w:shd w:val="clear" w:color="auto" w:fill="fbe9eb"/>
      </w:pPr>
      <w:r>
        <w:t>**Figure 1.1.6-1: Message flow for automatic recognition of identification schemes for heterogeneous IoT identifiers**</w:t>
      </w:r>
    </w:p>
    <w:p>
      <w:pPr>
        <w:pStyle w:val="CodeChangeLine"/>
        <w:shd w:val="clear" w:color="auto" w:fill="ecfdf0"/>
      </w:pPr>
      <w:r>
        <w:t>**Figure 12.36.6-1-1: Message flow for automatic recognition of identification schemes for heterogeneous IoT identifiers**</w:t>
      </w:r>
    </w:p>
    <w:p>
      <w:pPr>
        <w:pStyle w:val="CodeChangeLine"/>
      </w:pPr>
      <w:r>
        <w:t xml:space="preserve">   </w:t>
      </w:r>
    </w:p>
    <w:p>
      <w:pPr>
        <w:pStyle w:val="CodeChangeLine"/>
      </w:pPr>
      <w:r>
        <w:t>1. An application sends a request to the M2M service platform to recognize the identification scheme of an IoT identifier and then configure the device in an oneM2M deployment. The identifier recognition model is deployed on the M2M service platform which manifests as a rule base or a machine learning classification model.</w:t>
      </w:r>
    </w:p>
    <w:p>
      <w:pPr>
        <w:pStyle w:val="CodeChangeLine"/>
      </w:pPr>
      <w:r>
        <w:t>2. After receiving the request, the oneM2M platform recognizes the identification scheme of the identifier based on the heterogeneous identification function.</w:t>
      </w:r>
    </w:p>
    <w:p>
      <w:pPr>
        <w:pStyle w:val="CodeHeader"/>
      </w:pPr>
      <w:r>
        <w:t>@@ -7264,9 +7190,9 @@ None</w:t>
      </w:r>
    </w:p>
    <w:p>
      <w:pPr>
        <w:pStyle w:val="CodeChangeLine"/>
      </w:pPr>
      <w:r/>
    </w:p>
    <w:p>
      <w:pPr>
        <w:pStyle w:val="CodeChangeLine"/>
      </w:pPr>
      <w:r>
        <w:t>### 12.36.9 High Level Illustration</w:t>
      </w:r>
    </w:p>
    <w:p>
      <w:pPr>
        <w:pStyle w:val="CodeChangeLine"/>
      </w:pPr>
      <w:r/>
    </w:p>
    <w:p>
      <w:pPr>
        <w:pStyle w:val="CodeChangeLine"/>
        <w:shd w:val="clear" w:color="auto" w:fill="fbe9eb"/>
      </w:pPr>
      <w:r>
        <w:t>&lt;mark&gt;Editor note: Figure requires caption&lt;/mark&gt;</w:t>
      </w:r>
    </w:p>
    <w:p>
      <w:pPr>
        <w:pStyle w:val="CodeChangeLine"/>
        <w:shd w:val="clear" w:color="auto" w:fill="ecfdf0"/>
      </w:pPr>
      <w:r>
        <w:t>![Figure 12.25.9-1: High Level Illustration](media/12_36_9_1.png)</w:t>
      </w:r>
    </w:p>
    <w:p>
      <w:pPr>
        <w:pStyle w:val="CodeChangeLine"/>
      </w:pPr>
      <w:r/>
    </w:p>
    <w:p>
      <w:pPr>
        <w:pStyle w:val="CodeChangeLine"/>
        <w:shd w:val="clear" w:color="auto" w:fill="fbe9eb"/>
      </w:pPr>
      <w:r>
        <w:t>![](media/12_36_9_1.png)</w:t>
      </w:r>
    </w:p>
    <w:p>
      <w:pPr>
        <w:pStyle w:val="CodeChangeLine"/>
        <w:shd w:val="clear" w:color="auto" w:fill="ecfdf0"/>
      </w:pPr>
      <w:r>
        <w:t>**Figure 12.25.9-1: High Level Illustration**</w:t>
      </w:r>
    </w:p>
    <w:p>
      <w:pPr>
        <w:pStyle w:val="CodeChangeLine"/>
      </w:pPr>
      <w:r/>
    </w:p>
    <w:p>
      <w:pPr>
        <w:pStyle w:val="CodeChangeLine"/>
      </w:pPr>
      <w:r/>
    </w:p>
    <w:p>
      <w:pPr>
        <w:pStyle w:val="CodeChangeLine"/>
      </w:pPr>
      <w:r>
        <w:t>### 12.36.10 Potential requirements</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2</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---a/media/12_28_4_1.png</w:t>
        <w:br/>
        <w:t>+++b/media/12_28_4_1_1.png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2</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3</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---a/media/12_28_5_1.png</w:t>
        <w:br/>
        <w:t>+++b/media/12_28_5_1_1.png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3</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4</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---a/media/12_28_6_1.png</w:t>
        <w:br/>
        <w:t>+++b/media/12_28_6_1_1.png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4</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5</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---a/media/12_28_7_1.png</w:t>
        <w:br/>
        <w:t>+++b/media/12_28_7_1_1.png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5</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6</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---a/media/12_28_8_1.png</w:t>
        <w:br/>
        <w:t>+++b/media/12_28_8_1_1.png</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6</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62C9" w14:textId="77777777" w:rsidR="006317FA" w:rsidRDefault="006317FA">
      <w:r>
        <w:separator/>
      </w:r>
    </w:p>
  </w:endnote>
  <w:endnote w:type="continuationSeparator" w:id="0">
    <w:p w14:paraId="6E987411" w14:textId="77777777" w:rsidR="006317FA" w:rsidRDefault="0063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5E951" w14:textId="0FFA0530"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202</w:t>
    </w:r>
    <w:r w:rsidR="00F361C0">
      <w:rPr>
        <w:rFonts w:ascii="Times New Roman" w:eastAsia="Calibri" w:hAnsi="Times New Roman"/>
        <w:bCs/>
        <w:i w:val="0"/>
        <w:sz w:val="20"/>
        <w:lang w:val="en-US"/>
      </w:rPr>
      <w:t>5</w:t>
    </w:r>
    <w:r w:rsidRPr="008212CA">
      <w:rPr>
        <w:rFonts w:ascii="Times New Roman" w:eastAsia="Calibri" w:hAnsi="Times New Roman"/>
        <w:bCs/>
        <w:i w:val="0"/>
        <w:sz w:val="20"/>
        <w:lang w:val="en-US"/>
      </w:rPr>
      <w:t xml:space="preserve"> oneM2M Partners </w:t>
    </w:r>
    <w:r w:rsidR="00F361C0">
      <w:rPr>
        <w:rFonts w:ascii="Times New Roman" w:eastAsia="Calibri" w:hAnsi="Times New Roman"/>
        <w:bCs/>
        <w:i w:val="0"/>
        <w:sz w:val="20"/>
        <w:lang w:val="en-US"/>
      </w:rPr>
      <w:t>Type 1</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ABC1" w14:textId="77777777" w:rsidR="006317FA" w:rsidRDefault="006317FA">
      <w:r>
        <w:separator/>
      </w:r>
    </w:p>
  </w:footnote>
  <w:footnote w:type="continuationSeparator" w:id="0">
    <w:p w14:paraId="62F9532B" w14:textId="77777777" w:rsidR="006317FA" w:rsidRDefault="0063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FA38" w14:textId="2A7449EF" w:rsidR="001F1CB6" w:rsidRPr="00310BFE" w:rsidRDefault="001F1CB6" w:rsidP="001F1CB6">
    <w:pPr>
      <w:pStyle w:val="Header"/>
    </w:pPr>
    <w:r>
      <w:t>RDM-2025-0062-Fixed_editor_notes_after_conversion</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14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317FA"/>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B6800"/>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361C0"/>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r/tr-0001/-/merge_requests/4/diffs?commit_id=d02c34e066fdad879650a8e4b44b2d8135c0797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r/tr-0001/-/merge_requests/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3816</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11</cp:revision>
  <cp:lastPrinted>2019-07-09T13:00:00Z</cp:lastPrinted>
  <dcterms:created xsi:type="dcterms:W3CDTF">2023-08-16T17:37:00Z</dcterms:created>
  <dcterms:modified xsi:type="dcterms:W3CDTF">2025-04-02T07:17:00Z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