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 71.1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Sejong Univ. and STF 685</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2025-09-24</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New requirements for Service Continuity</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WI-0001</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TS-0002</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#CLAUSES#</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Incorporate requirements from the agreed use case on service continuity </w:t>
      </w:r>
    </w:p>
    <w:p w14:paraId="25E6A193" w14:textId="36971A44" w:rsidR="001F1CB6" w:rsidRDefault="001F1CB6" w:rsidP="001F1CB6">
      <w:pPr>
        <w:rPr>
          <w:rStyle w:val="Hyperlink"/>
          <w:lang w:val="en-US"/>
        </w:rPr>
      </w:pPr>
      <w:hyperlink r:id="rId11" w:history="1">
        <w:r>
          <w:rPr>
            <w:rStyle w:val="Hyperlink"/>
            <w:lang w:val="en-US"/>
          </w:rPr>
          <w:t>https://git.onem2m.org/specifications/ts/ts-0002/-/merge_requests/11</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https://git.onem2m.org/specifications/ts/ts-0002/-/merge_requests/11/diffs?commit_id=7d83183a233963cc643f579a7c7f5f2e11260d29</w:t>
        </w:r>
      </w:hyperlink>
    </w:p>
    <w:p w14:paraId="28E00C8E" w14:textId="4AE272E1" w:rsidR="00953837" w:rsidRDefault="00023407" w:rsidP="00FF52DD">
      <w:pPr>
        <w:pStyle w:val="Heading2"/>
        <w:rPr>
          <w:rFonts w:eastAsia="Malgun Gothic"/>
        </w:rPr>
      </w:pPr>
      <w:r w:rsidRPr="00540429">
        <w:rPr>
          <w:rFonts w:eastAsia="Malgun Gothic"/>
        </w:rPr>
        <w:t>---------------------</w:t>
      </w:r>
      <w:r w:rsidRPr="00540429">
        <w:rPr>
          <w:rFonts w:eastAsia="Malgun Gothic" w:hint="eastAsia"/>
          <w:lang w:eastAsia="ko-KR"/>
        </w:rPr>
        <w:t xml:space="preserve"> Start</w:t>
      </w:r>
      <w:r w:rsidRPr="00540429">
        <w:rPr>
          <w:rFonts w:eastAsia="Malgun Gothic"/>
        </w:rPr>
        <w:t xml:space="preserve"> of change </w:t>
      </w:r>
      <w:r w:rsidRPr="00023407">
        <w:rPr>
          <w:rFonts w:eastAsia="Malgun Gothic"/>
        </w:rPr>
        <w:t>1</w:t>
      </w:r>
      <w:r w:rsidRPr="00540429">
        <w:rPr>
          <w:rFonts w:eastAsia="Malgun Gothic" w:hint="eastAsia"/>
          <w:lang w:eastAsia="ko-KR"/>
        </w:rPr>
        <w:t xml:space="preserve"> </w:t>
      </w:r>
      <w:r w:rsidRPr="00540429">
        <w:rPr>
          <w:rFonts w:eastAsia="Malgun Gothic"/>
        </w:rPr>
        <w:t>---------------------</w:t>
      </w:r>
    </w:p>
    <w:p w14:paraId="5EBE7098" w14:textId="4B81EB89" w:rsidR="007E19E7" w:rsidRDefault="007E19E7" w:rsidP="007E19E7">
      <w:pPr>
        <w:tabs>
          <w:tab w:val="left" w:pos="0"/>
          <w:tab w:val="center" w:pos="4820"/>
          <w:tab w:val="right" w:pos="9638"/>
        </w:tabs>
        <w:spacing w:before="240" w:after="240"/>
        <w:jc w:val="center"/>
        <w:rPr>
          <w:rFonts w:ascii="Arial" w:hAnsi="Arial" w:cs="Arial"/>
          <w:color w:val="548DD4" w:themeColor="text2" w:themeTint="99"/>
          <w:sz w:val="28"/>
          <w:szCs w:val="32"/>
        </w:rPr>
      </w:pPr>
      <w:r w:rsidRPr="007E19E7">
        <w:rPr>
          <w:rFonts w:ascii="Arial" w:hAnsi="Arial" w:cs="Arial"/>
          <w:sz w:val="28"/>
          <w:szCs w:val="32"/>
        </w:rPr>
        <w:t>TS-0002-oneM2M-Requirements.md</w:t>
      </w:r>
      <w:r>
        <w:rPr>
          <w:rFonts w:ascii="Arial" w:hAnsi="Arial" w:cs="Arial"/>
          <w:strike/>
          <w:color w:val="FF0000"/>
          <w:sz w:val="28"/>
          <w:szCs w:val="32"/>
        </w:rPr>
      </w:r>
    </w:p>
    <w:p w14:paraId="293F5EF7" w14:textId="77777777" w:rsidR="007E19E7" w:rsidRPr="007E19E7" w:rsidRDefault="007E19E7" w:rsidP="007E19E7">
      <w:pPr>
        <w:rPr>
          <w:rFonts w:eastAsia="Malgun Gothic"/>
        </w:rPr>
      </w:pPr>
    </w:p>
    <w:p w14:paraId="2CD6D978" w14:textId="3D195554" w:rsidR="00023407" w:rsidRDefault="00023407" w:rsidP="00023407">
      <w:pPr>
        <w:rPr>
          <w:rFonts w:eastAsia="Malgun Gothic"/>
          <w:sz w:val="28"/>
        </w:rPr>
      </w:pPr>
    </w:p>
    <w:p>
      <w:pPr>
        <w:pStyle w:val="Code"/>
      </w:pPr>
    </w:p>
    <w:p>
      <w:pPr>
        <w:pStyle w:val="CodeHeader"/>
      </w:pPr>
      <w:r>
        <w:t>---a/TS-0002-oneM2M-Requirements.md</w:t>
        <w:br/>
        <w:t>+++b/TS-0002-oneM2M-Requirements.md</w:t>
      </w:r>
    </w:p>
    <w:p>
      <w:pPr>
        <w:pStyle w:val="CodeHeader"/>
      </w:pPr>
      <w:r>
        <w:t>@@ -400,6 +400,8 @@ Any of the above functional roles may coincide with any of the other roles. Thes</w:t>
      </w:r>
    </w:p>
    <w:p>
      <w:pPr>
        <w:pStyle w:val="CodeChangeLine"/>
        <w:tabs>
          <w:tab w:pos="567" w:val="left"/>
          <w:tab w:pos="1134" w:val="left"/>
          <w:tab w:pos="1247" w:val="left"/>
        </w:tabs>
      </w:pPr>
      <w:r>
        <w:rPr>
          <w:color w:val="BFBFBF"/>
          <w:shd w:val="clear" w:color="auto" w:fill="fafafa"/>
        </w:rPr>
        <w:t>400</w:t>
        <w:tab/>
        <w:t>400</w:t>
        <w:tab/>
        <w:tab/>
      </w:r>
      <w:r>
        <w:t>|OSR-235&lt;br /&gt;See RDM-2023-0011R01 |The oneM2M system shall be able to support the creation and management of classifiers for AI/ML applications as follows:&lt;br /&gt;Predefined-classifier function comes with a predefined and pretrained classifier for object detection, object tracking, semantic segmentation,instance segmentation, etc. from data generated by IoT devices (e.g., smart city camera). (Note 25) |Rel-5 |</w:t>
      </w:r>
    </w:p>
    <w:p>
      <w:pPr>
        <w:pStyle w:val="CodeChangeLine"/>
        <w:tabs>
          <w:tab w:pos="567" w:val="left"/>
          <w:tab w:pos="1134" w:val="left"/>
          <w:tab w:pos="1247" w:val="left"/>
        </w:tabs>
      </w:pPr>
      <w:r>
        <w:rPr>
          <w:color w:val="BFBFBF"/>
          <w:shd w:val="clear" w:color="auto" w:fill="fafafa"/>
        </w:rPr>
        <w:t>401</w:t>
        <w:tab/>
        <w:t>401</w:t>
        <w:tab/>
        <w:tab/>
      </w:r>
      <w:r>
        <w:t>|OSR-236&lt;br /&gt;See RDM-2023-0012R01 |The oneM2M System shall be able to distinguish the data set that will be trained and has already been trained. |Rel-5 |</w:t>
      </w:r>
    </w:p>
    <w:p>
      <w:pPr>
        <w:pStyle w:val="CodeChangeLine"/>
        <w:tabs>
          <w:tab w:pos="567" w:val="left"/>
          <w:tab w:pos="1134" w:val="left"/>
          <w:tab w:pos="1247" w:val="left"/>
        </w:tabs>
      </w:pPr>
      <w:r>
        <w:rPr>
          <w:color w:val="BFBFBF"/>
          <w:shd w:val="clear" w:color="auto" w:fill="fafafa"/>
        </w:rPr>
        <w:t>402</w:t>
        <w:tab/>
        <w:t>402</w:t>
        <w:tab/>
        <w:tab/>
      </w:r>
      <w:r>
        <w:t>|OSR-237&lt;br /&gt;See RDM-2023-0012R01 |The oneM2M System shall be able to provide automated machine learning applications under certain conditions, e.g., building a model every week or when the number of datasets reaches 100. |Rel-5 |</w:t>
      </w:r>
    </w:p>
    <w:p>
      <w:pPr>
        <w:pStyle w:val="CodeChangeLine"/>
        <w:tabs>
          <w:tab w:pos="567" w:val="left"/>
          <w:tab w:pos="1134" w:val="left"/>
          <w:tab w:pos="1247" w:val="left"/>
        </w:tabs>
        <w:shd w:val="clear" w:color="auto" w:fill="ecfdf0"/>
      </w:pPr>
      <w:r>
        <w:rPr>
          <w:color w:val="BFBFBF"/>
          <w:shd w:val="clear" w:color="auto" w:fill="#ddfbe6"/>
        </w:rPr>
        <w:tab/>
        <w:t>403</w:t>
        <w:tab/>
        <w:t>+</w:t>
        <w:tab/>
      </w:r>
      <w:r>
        <w:t>|OSR-238&lt;br /&gt;See RDM-2025-0074R01 |The oneM2M system shall be able to support dynamic resource offloading from the cloud to edge nodes based on a device's location, with seamless resource exchange facilitated among cloud IoT platforms (incl. from different service providers), between cloud and edge IoT platforms, and among edge IoT platforms to ensure uninterrupted service across different domains. |Rel-5 |</w:t>
      </w:r>
    </w:p>
    <w:p>
      <w:pPr>
        <w:pStyle w:val="CodeChangeLine"/>
        <w:tabs>
          <w:tab w:pos="567" w:val="left"/>
          <w:tab w:pos="1134" w:val="left"/>
          <w:tab w:pos="1247" w:val="left"/>
        </w:tabs>
        <w:shd w:val="clear" w:color="auto" w:fill="ecfdf0"/>
      </w:pPr>
      <w:r>
        <w:rPr>
          <w:color w:val="BFBFBF"/>
          <w:shd w:val="clear" w:color="auto" w:fill="#ddfbe6"/>
        </w:rPr>
        <w:tab/>
        <w:t>404</w:t>
        <w:tab/>
        <w:t>+</w:t>
        <w:tab/>
      </w:r>
      <w:r>
        <w:t>|OSR-239&lt;br /&gt;See RDM-2025-0074R01 |The oneM2M system shall be able to ensure the continuity of related resources and tasks, providing a seamless service experience as a device with oneM2M application moves across different geographical zones. |Rel-5 |</w:t>
      </w:r>
    </w:p>
    <w:p>
      <w:pPr>
        <w:pStyle w:val="CodeChangeLine"/>
        <w:tabs>
          <w:tab w:pos="567" w:val="left"/>
          <w:tab w:pos="1134" w:val="left"/>
          <w:tab w:pos="1247" w:val="left"/>
        </w:tabs>
      </w:pPr>
      <w:r>
        <w:rPr>
          <w:color w:val="BFBFBF"/>
          <w:shd w:val="clear" w:color="auto" w:fill="fafafa"/>
        </w:rPr>
        <w:t>403</w:t>
        <w:tab/>
        <w:t>405</w:t>
        <w:tab/>
        <w:tab/>
      </w:r>
      <w:r/>
    </w:p>
    <w:p>
      <w:pPr>
        <w:pStyle w:val="CodeChangeLine"/>
        <w:tabs>
          <w:tab w:pos="567" w:val="left"/>
          <w:tab w:pos="1134" w:val="left"/>
          <w:tab w:pos="1247" w:val="left"/>
        </w:tabs>
      </w:pPr>
      <w:r>
        <w:rPr>
          <w:color w:val="BFBFBF"/>
          <w:shd w:val="clear" w:color="auto" w:fill="fafafa"/>
        </w:rPr>
        <w:t>404</w:t>
        <w:tab/>
        <w:t>406</w:t>
        <w:tab/>
        <w:tab/>
      </w:r>
      <w:r/>
    </w:p>
    <w:p>
      <w:pPr>
        <w:pStyle w:val="CodeChangeLine"/>
        <w:tabs>
          <w:tab w:pos="567" w:val="left"/>
          <w:tab w:pos="1134" w:val="left"/>
          <w:tab w:pos="1247" w:val="left"/>
        </w:tabs>
      </w:pPr>
      <w:r>
        <w:rPr>
          <w:color w:val="BFBFBF"/>
          <w:shd w:val="clear" w:color="auto" w:fill="fafafa"/>
        </w:rPr>
        <w:t>405</w:t>
        <w:tab/>
        <w:t>407</w:t>
        <w:tab/>
        <w:tab/>
      </w:r>
      <w:r>
        <w:t>NOTE 1:    The set of features or APIs to be supported depends on the M2M Common Services and access to available APIs.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RDM-2025-0080-New_requirements_for_Service_Continuity</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02/-/merge_requests/11/diffs?commit_id=7d83183a233963cc643f579a7c7f5f2e11260d2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02/-/merge_requests/1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JaeSeung Song</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