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58.png" ContentType="image/png"/>
  <Override PartName="/word/media/rId73.png" ContentType="image/png"/>
  <Override PartName="/word/media/rId34.png" ContentType="image/png"/>
  <Override PartName="/word/media/rId38.png" ContentType="image/png"/>
  <Override PartName="/word/media/rId43.png" ContentType="image/png"/>
  <Override PartName="/word/media/rId46.png" ContentType="image/png"/>
  <Override PartName="/word/media/rId53.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14"/>
        <w:tblLayout w:type="fixed"/>
        <w:tblLook w:firstRow="1" w:lastRow="0" w:firstColumn="0" w:lastColumn="0" w:noHBand="0" w:noVBand="0" w:val="0020"/>
      </w:tblPr>
      <w:tblGrid>
        <w:gridCol w:w="1980"/>
        <w:gridCol w:w="5170"/>
      </w:tblGrid>
      <w:tr>
        <w:trPr>
          <w:tblHeader w:val="on"/>
        </w:trPr>
        <w:tc>
          <w:tcPr>
            <w:gridSpan w:val="2"/>
          </w:tcPr>
          <w:p>
            <w:pPr>
              <w:pStyle w:val="Compact"/>
              <w:jc w:val="left"/>
            </w:pPr>
            <w:r>
              <w:rPr>
                <w:b/>
                <w:bCs/>
              </w:rPr>
              <w:t xml:space="preserve">oneM2M</w:t>
            </w:r>
            <w:r>
              <w:t xml:space="preserve"> </w:t>
            </w:r>
            <w:r>
              <w:rPr>
                <w:b/>
                <w:bCs/>
              </w:rPr>
              <w:t xml:space="preserve">Technical</w:t>
            </w:r>
            <w:r>
              <w:t xml:space="preserve"> </w:t>
            </w:r>
            <w:r>
              <w:rPr>
                <w:b/>
                <w:bCs/>
              </w:rPr>
              <w:t xml:space="preserve">Specification</w:t>
            </w:r>
          </w:p>
        </w:tc>
      </w:tr>
      <w:tr>
        <w:tc>
          <w:tcPr/>
          <w:p>
            <w:pPr>
              <w:pStyle w:val="Compact"/>
              <w:jc w:val="left"/>
            </w:pPr>
            <w:r>
              <w:t xml:space="preserve">Document Number</w:t>
            </w:r>
          </w:p>
        </w:tc>
        <w:tc>
          <w:tcPr/>
          <w:p>
            <w:pPr>
              <w:pStyle w:val="Compact"/>
              <w:jc w:val="left"/>
            </w:pPr>
            <w:r>
              <w:t xml:space="preserve">oneM2M-TS-0019-V-2.9.2</w:t>
            </w:r>
          </w:p>
        </w:tc>
      </w:tr>
      <w:tr>
        <w:tc>
          <w:tcPr/>
          <w:p>
            <w:pPr>
              <w:pStyle w:val="Compact"/>
              <w:jc w:val="left"/>
            </w:pPr>
            <w:r>
              <w:t xml:space="preserve">Document Name:</w:t>
            </w:r>
          </w:p>
        </w:tc>
        <w:tc>
          <w:tcPr/>
          <w:p>
            <w:pPr>
              <w:pStyle w:val="Compact"/>
              <w:jc w:val="left"/>
            </w:pPr>
            <w:r>
              <w:t xml:space="preserve">Abstract Test Suite and Implementation</w:t>
            </w:r>
            <w:r>
              <w:t xml:space="preserve"> </w:t>
            </w:r>
            <w:r>
              <w:t xml:space="preserve">eXtra Information for Test</w:t>
            </w:r>
          </w:p>
        </w:tc>
      </w:tr>
      <w:tr>
        <w:tc>
          <w:tcPr/>
          <w:p>
            <w:pPr>
              <w:pStyle w:val="Compact"/>
              <w:jc w:val="left"/>
            </w:pPr>
            <w:r>
              <w:t xml:space="preserve">Date:</w:t>
            </w:r>
          </w:p>
        </w:tc>
        <w:tc>
          <w:tcPr/>
          <w:p>
            <w:pPr>
              <w:pStyle w:val="Compact"/>
              <w:jc w:val="left"/>
            </w:pPr>
            <w:r>
              <w:t xml:space="preserve">2025 February 13</w:t>
            </w:r>
          </w:p>
        </w:tc>
      </w:tr>
      <w:tr>
        <w:tc>
          <w:tcPr/>
          <w:p>
            <w:pPr>
              <w:pStyle w:val="Compact"/>
              <w:jc w:val="left"/>
            </w:pPr>
            <w:r>
              <w:t xml:space="preserve">Abstract:</w:t>
            </w:r>
          </w:p>
        </w:tc>
        <w:tc>
          <w:tcPr/>
          <w:p>
            <w:pPr>
              <w:jc w:val="left"/>
            </w:pPr>
            <w:r>
              <w:t xml:space="preserve">Abstract Test Suite and Implementation eXtra</w:t>
            </w:r>
            <w:r>
              <w:t xml:space="preserve"> </w:t>
            </w:r>
            <w:r>
              <w:t xml:space="preserve">Information for Test consists of:</w:t>
            </w:r>
          </w:p>
          <w:p>
            <w:pPr>
              <w:pStyle w:val="Compact"/>
              <w:numPr>
                <w:ilvl w:val="0"/>
                <w:numId w:val="1001"/>
              </w:numPr>
              <w:jc w:val="left"/>
            </w:pPr>
            <w:r>
              <w:t xml:space="preserve">Definition of the Abstract Protocol Tester</w:t>
            </w:r>
            <w:r>
              <w:t xml:space="preserve"> </w:t>
            </w:r>
            <w:r>
              <w:t xml:space="preserve">(APT)</w:t>
            </w:r>
          </w:p>
          <w:p>
            <w:pPr>
              <w:pStyle w:val="Compact"/>
              <w:numPr>
                <w:ilvl w:val="0"/>
                <w:numId w:val="1001"/>
              </w:numPr>
              <w:jc w:val="left"/>
            </w:pPr>
            <w:r>
              <w:t xml:space="preserve">Definition of TTCN-3 test architecture</w:t>
            </w:r>
          </w:p>
          <w:p>
            <w:pPr>
              <w:pStyle w:val="Compact"/>
              <w:numPr>
                <w:ilvl w:val="0"/>
                <w:numId w:val="1001"/>
              </w:numPr>
              <w:jc w:val="left"/>
            </w:pPr>
            <w:r>
              <w:t xml:space="preserve">Development of TTCN-3 test suite, e.g.</w:t>
            </w:r>
            <w:r>
              <w:t xml:space="preserve"> </w:t>
            </w:r>
            <w:r>
              <w:t xml:space="preserve">naming conventions, code documentation, test</w:t>
            </w:r>
            <w:r>
              <w:t xml:space="preserve"> </w:t>
            </w:r>
            <w:r>
              <w:t xml:space="preserve">case structure.</w:t>
            </w:r>
          </w:p>
          <w:p>
            <w:pPr>
              <w:pStyle w:val="Compact"/>
              <w:numPr>
                <w:ilvl w:val="0"/>
                <w:numId w:val="1001"/>
              </w:numPr>
              <w:jc w:val="left"/>
            </w:pPr>
            <w:r>
              <w:t xml:space="preserve">IXIT proforma;</w:t>
            </w:r>
          </w:p>
        </w:tc>
      </w:tr>
      <w:tr>
        <w:tc>
          <w:tcPr>
            <w:gridSpan w:val="2"/>
          </w:tcPr>
          <w:p>
            <w:pPr>
              <w:pStyle w:val="Compact"/>
              <w:jc w:val="left"/>
            </w:pPr>
            <w:r>
              <w:t xml:space="preserve">Template Version:23 February 2015 (Do not modify)</w:t>
            </w:r>
          </w:p>
        </w:tc>
      </w:tr>
    </w:tbl>
    <w:p>
      <w:pPr>
        <w:pStyle w:val="BodyText"/>
      </w:pPr>
      <w:r>
        <w:br/>
      </w: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2"/>
        </w:numPr>
      </w:pPr>
      <w:r>
        <w:t xml:space="preserve">2025,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abstract-test-method-atm">
        <w:r>
          <w:rPr>
            <w:rStyle w:val="Hyperlink"/>
          </w:rPr>
          <w:t xml:space="preserve">5 Abstract Test Method (ATM)</w:t>
        </w:r>
      </w:hyperlink>
      <w:r>
        <w:br/>
      </w:r>
      <w:r>
        <w:t xml:space="preserve">    </w:t>
      </w:r>
      <w:hyperlink w:anchor="abstract-protocol-tester-apt">
        <w:r>
          <w:rPr>
            <w:rStyle w:val="Hyperlink"/>
          </w:rPr>
          <w:t xml:space="preserve">5.1 Abstract protocol tester (APT)</w:t>
        </w:r>
      </w:hyperlink>
      <w:r>
        <w:br/>
      </w:r>
      <w:r>
        <w:t xml:space="preserve">    </w:t>
      </w:r>
      <w:hyperlink w:anchor="test-configuration">
        <w:r>
          <w:rPr>
            <w:rStyle w:val="Hyperlink"/>
          </w:rPr>
          <w:t xml:space="preserve">5.2 Test Configuration</w:t>
        </w:r>
      </w:hyperlink>
      <w:r>
        <w:br/>
      </w:r>
      <w:r>
        <w:t xml:space="preserve">        </w:t>
      </w:r>
      <w:hyperlink w:anchor="ae-test-configuration">
        <w:r>
          <w:rPr>
            <w:rStyle w:val="Hyperlink"/>
          </w:rPr>
          <w:t xml:space="preserve">5.2.1 AE Test Configuration</w:t>
        </w:r>
      </w:hyperlink>
      <w:r>
        <w:br/>
      </w:r>
      <w:r>
        <w:t xml:space="preserve">    </w:t>
      </w:r>
      <w:hyperlink w:anchor="test-architecture">
        <w:r>
          <w:rPr>
            <w:rStyle w:val="Hyperlink"/>
          </w:rPr>
          <w:t xml:space="preserve">5.3 Test architecture</w:t>
        </w:r>
      </w:hyperlink>
      <w:r>
        <w:br/>
      </w:r>
      <w:r>
        <w:t xml:space="preserve">    </w:t>
      </w:r>
      <w:hyperlink w:anchor="Xf91af437398fc541e397b520f5e15a719c8a2ac">
        <w:r>
          <w:rPr>
            <w:rStyle w:val="Hyperlink"/>
          </w:rPr>
          <w:t xml:space="preserve">5.4 Ports and ASPs (Abstract Services Primitives)</w:t>
        </w:r>
      </w:hyperlink>
      <w:r>
        <w:br/>
      </w:r>
      <w:r>
        <w:t xml:space="preserve">        </w:t>
      </w:r>
      <w:hyperlink w:anchor="introduction">
        <w:r>
          <w:rPr>
            <w:rStyle w:val="Hyperlink"/>
          </w:rPr>
          <w:t xml:space="preserve">5.4.0 Introduction</w:t>
        </w:r>
      </w:hyperlink>
      <w:r>
        <w:br/>
      </w:r>
      <w:r>
        <w:t xml:space="preserve">        </w:t>
      </w:r>
      <w:hyperlink w:anchor="mcaport-mcaportin-mccport-mccportin">
        <w:r>
          <w:rPr>
            <w:rStyle w:val="Hyperlink"/>
          </w:rPr>
          <w:t xml:space="preserve">5.4.1 mcaPort, mcaPortIn, mccPort, mccPortIn</w:t>
        </w:r>
      </w:hyperlink>
      <w:r>
        <w:br/>
      </w:r>
      <w:r>
        <w:t xml:space="preserve">        </w:t>
      </w:r>
      <w:hyperlink w:anchor="utport">
        <w:r>
          <w:rPr>
            <w:rStyle w:val="Hyperlink"/>
          </w:rPr>
          <w:t xml:space="preserve">5.4.2 utPort</w:t>
        </w:r>
      </w:hyperlink>
      <w:r>
        <w:br/>
      </w:r>
      <w:r>
        <w:t xml:space="preserve">            </w:t>
      </w:r>
      <w:hyperlink w:anchor="introduction-1">
        <w:r>
          <w:rPr>
            <w:rStyle w:val="Hyperlink"/>
          </w:rPr>
          <w:t xml:space="preserve">5.4.2.0 Introduction</w:t>
        </w:r>
      </w:hyperlink>
      <w:r>
        <w:br/>
      </w:r>
      <w:r>
        <w:t xml:space="preserve">            </w:t>
      </w:r>
      <w:hyperlink w:anchor="usage-for-automated-ae-testing">
        <w:r>
          <w:rPr>
            <w:rStyle w:val="Hyperlink"/>
          </w:rPr>
          <w:t xml:space="preserve">5.4.2.1 Usage for Automated AE Testing</w:t>
        </w:r>
      </w:hyperlink>
      <w:r>
        <w:br/>
      </w:r>
      <w:r>
        <w:t xml:space="preserve">            </w:t>
      </w:r>
      <w:hyperlink w:anchor="upper-tester-control-primitives">
        <w:r>
          <w:rPr>
            <w:rStyle w:val="Hyperlink"/>
          </w:rPr>
          <w:t xml:space="preserve">5.4.2.2 Upper Tester Control Primitives</w:t>
        </w:r>
      </w:hyperlink>
      <w:r>
        <w:br/>
      </w:r>
      <w:r>
        <w:t xml:space="preserve">                </w:t>
      </w:r>
      <w:hyperlink w:anchor="introduction-2">
        <w:r>
          <w:rPr>
            <w:rStyle w:val="Hyperlink"/>
          </w:rPr>
          <w:t xml:space="preserve">5.4.2.2.1 Introduction</w:t>
        </w:r>
      </w:hyperlink>
      <w:r>
        <w:br/>
      </w:r>
      <w:r>
        <w:t xml:space="preserve">                </w:t>
      </w:r>
      <w:hyperlink w:anchor="uttrigger-and-uttriggerack-primitives">
        <w:r>
          <w:rPr>
            <w:rStyle w:val="Hyperlink"/>
          </w:rPr>
          <w:t xml:space="preserve">5.4.2.2.2 UtTrigger and UtTriggerAck Primitives</w:t>
        </w:r>
      </w:hyperlink>
      <w:r>
        <w:br/>
      </w:r>
      <w:r>
        <w:t xml:space="preserve">                </w:t>
      </w:r>
      <w:hyperlink w:anchor="control-communication-protocol">
        <w:r>
          <w:rPr>
            <w:rStyle w:val="Hyperlink"/>
          </w:rPr>
          <w:t xml:space="preserve">5.4.2.2.3 Control Communication Protocol</w:t>
        </w:r>
      </w:hyperlink>
      <w:r>
        <w:br/>
      </w:r>
      <w:r>
        <w:t xml:space="preserve">                </w:t>
      </w:r>
      <w:hyperlink w:anchor="control-message-serialization">
        <w:r>
          <w:rPr>
            <w:rStyle w:val="Hyperlink"/>
          </w:rPr>
          <w:t xml:space="preserve">5.4.2.2.4 Control Message Serialization</w:t>
        </w:r>
      </w:hyperlink>
      <w:r>
        <w:br/>
      </w:r>
      <w:r>
        <w:t xml:space="preserve">        </w:t>
      </w:r>
      <w:hyperlink w:anchor="acport">
        <w:r>
          <w:rPr>
            <w:rStyle w:val="Hyperlink"/>
          </w:rPr>
          <w:t xml:space="preserve">5.4.3 acPort</w:t>
        </w:r>
      </w:hyperlink>
      <w:r>
        <w:br/>
      </w:r>
      <w:r>
        <w:t xml:space="preserve">        </w:t>
      </w:r>
      <w:hyperlink w:anchor="infoport">
        <w:r>
          <w:rPr>
            <w:rStyle w:val="Hyperlink"/>
          </w:rPr>
          <w:t xml:space="preserve">5.4.4 infoPort</w:t>
        </w:r>
      </w:hyperlink>
      <w:r>
        <w:br/>
      </w:r>
      <w:r>
        <w:t xml:space="preserve">    </w:t>
      </w:r>
      <w:hyperlink w:anchor="test-components">
        <w:r>
          <w:rPr>
            <w:rStyle w:val="Hyperlink"/>
          </w:rPr>
          <w:t xml:space="preserve">5.5 Test components</w:t>
        </w:r>
      </w:hyperlink>
      <w:r>
        <w:br/>
      </w:r>
      <w:r>
        <w:t xml:space="preserve">        </w:t>
      </w:r>
      <w:hyperlink w:anchor="tester">
        <w:r>
          <w:rPr>
            <w:rStyle w:val="Hyperlink"/>
          </w:rPr>
          <w:t xml:space="preserve">5.5.1 Tester</w:t>
        </w:r>
      </w:hyperlink>
      <w:r>
        <w:br/>
      </w:r>
      <w:r>
        <w:t xml:space="preserve">        </w:t>
      </w:r>
      <w:hyperlink w:anchor="aesimu">
        <w:r>
          <w:rPr>
            <w:rStyle w:val="Hyperlink"/>
          </w:rPr>
          <w:t xml:space="preserve">5.5.2 AeSimu</w:t>
        </w:r>
      </w:hyperlink>
      <w:r>
        <w:br/>
      </w:r>
      <w:r>
        <w:t xml:space="preserve">        </w:t>
      </w:r>
      <w:hyperlink w:anchor="csesimu">
        <w:r>
          <w:rPr>
            <w:rStyle w:val="Hyperlink"/>
          </w:rPr>
          <w:t xml:space="preserve">5.5.3 CseSimu</w:t>
        </w:r>
      </w:hyperlink>
      <w:r>
        <w:br/>
      </w:r>
      <w:r>
        <w:t xml:space="preserve">    </w:t>
      </w:r>
      <w:hyperlink w:anchor="test-strategy">
        <w:r>
          <w:rPr>
            <w:rStyle w:val="Hyperlink"/>
          </w:rPr>
          <w:t xml:space="preserve">5.6 Test strategy</w:t>
        </w:r>
      </w:hyperlink>
      <w:r>
        <w:br/>
      </w:r>
      <w:hyperlink w:anchor="untestable-test-purposes">
        <w:r>
          <w:rPr>
            <w:rStyle w:val="Hyperlink"/>
          </w:rPr>
          <w:t xml:space="preserve">6 Untestable Test Purposes</w:t>
        </w:r>
      </w:hyperlink>
      <w:r>
        <w:br/>
      </w:r>
      <w:hyperlink w:anchor="ats-conventions">
        <w:r>
          <w:rPr>
            <w:rStyle w:val="Hyperlink"/>
          </w:rPr>
          <w:t xml:space="preserve">7 ATS Conventions</w:t>
        </w:r>
      </w:hyperlink>
      <w:r>
        <w:br/>
      </w:r>
      <w:r>
        <w:t xml:space="preserve">    </w:t>
      </w:r>
      <w:hyperlink w:anchor="introduction-3">
        <w:r>
          <w:rPr>
            <w:rStyle w:val="Hyperlink"/>
          </w:rPr>
          <w:t xml:space="preserve">7.0 Introduction</w:t>
        </w:r>
      </w:hyperlink>
      <w:r>
        <w:br/>
      </w:r>
      <w:r>
        <w:t xml:space="preserve">    </w:t>
      </w:r>
      <w:hyperlink w:anchor="testing-conventions">
        <w:r>
          <w:rPr>
            <w:rStyle w:val="Hyperlink"/>
          </w:rPr>
          <w:t xml:space="preserve">7.1 Testing conventions</w:t>
        </w:r>
      </w:hyperlink>
      <w:r>
        <w:br/>
      </w:r>
      <w:r>
        <w:t xml:space="preserve">        </w:t>
      </w:r>
      <w:hyperlink w:anchor="testing-states">
        <w:r>
          <w:rPr>
            <w:rStyle w:val="Hyperlink"/>
          </w:rPr>
          <w:t xml:space="preserve">7.1.1 Testing states</w:t>
        </w:r>
      </w:hyperlink>
      <w:r>
        <w:br/>
      </w:r>
      <w:r>
        <w:t xml:space="preserve">            </w:t>
      </w:r>
      <w:hyperlink w:anchor="initial-state">
        <w:r>
          <w:rPr>
            <w:rStyle w:val="Hyperlink"/>
          </w:rPr>
          <w:t xml:space="preserve">7.1.1.1 Initial state</w:t>
        </w:r>
      </w:hyperlink>
      <w:r>
        <w:br/>
      </w:r>
      <w:r>
        <w:t xml:space="preserve">            </w:t>
      </w:r>
      <w:hyperlink w:anchor="final-state">
        <w:r>
          <w:rPr>
            <w:rStyle w:val="Hyperlink"/>
          </w:rPr>
          <w:t xml:space="preserve">7.1.1.2 Final state</w:t>
        </w:r>
      </w:hyperlink>
      <w:r>
        <w:br/>
      </w:r>
      <w:r>
        <w:t xml:space="preserve">    </w:t>
      </w:r>
      <w:hyperlink w:anchor="naming-conventions">
        <w:r>
          <w:rPr>
            <w:rStyle w:val="Hyperlink"/>
          </w:rPr>
          <w:t xml:space="preserve">7.2 Naming conventions</w:t>
        </w:r>
      </w:hyperlink>
      <w:r>
        <w:br/>
      </w:r>
      <w:r>
        <w:t xml:space="preserve">        </w:t>
      </w:r>
      <w:hyperlink w:anchor="general-guidelines">
        <w:r>
          <w:rPr>
            <w:rStyle w:val="Hyperlink"/>
          </w:rPr>
          <w:t xml:space="preserve">7.2.1 General guidelines</w:t>
        </w:r>
      </w:hyperlink>
      <w:r>
        <w:br/>
      </w:r>
      <w:r>
        <w:t xml:space="preserve">        </w:t>
      </w:r>
      <w:hyperlink w:anchor="X2d18a39c723c96da909a480c09fbee3e59d0b0e">
        <w:r>
          <w:rPr>
            <w:rStyle w:val="Hyperlink"/>
          </w:rPr>
          <w:t xml:space="preserve">7.2.2 oneM2M specific TTCN-3 naming conventions</w:t>
        </w:r>
      </w:hyperlink>
      <w:r>
        <w:br/>
      </w:r>
      <w:r>
        <w:t xml:space="preserve">        </w:t>
      </w:r>
      <w:hyperlink w:anchor="usage-of-log-statements">
        <w:r>
          <w:rPr>
            <w:rStyle w:val="Hyperlink"/>
          </w:rPr>
          <w:t xml:space="preserve">7.2.3 Usage of Log statements</w:t>
        </w:r>
      </w:hyperlink>
      <w:r>
        <w:br/>
      </w:r>
      <w:r>
        <w:t xml:space="preserve">        </w:t>
      </w:r>
      <w:hyperlink w:anchor="test-case-tc-identifier">
        <w:r>
          <w:rPr>
            <w:rStyle w:val="Hyperlink"/>
          </w:rPr>
          <w:t xml:space="preserve">7.2.4 Test Case (TC) identifier</w:t>
        </w:r>
      </w:hyperlink>
      <w:r>
        <w:br/>
      </w:r>
      <w:r>
        <w:t xml:space="preserve">    </w:t>
      </w:r>
      <w:hyperlink w:anchor="ixit">
        <w:r>
          <w:rPr>
            <w:rStyle w:val="Hyperlink"/>
          </w:rPr>
          <w:t xml:space="preserve">7.3 IXIT</w:t>
        </w:r>
      </w:hyperlink>
      <w:r>
        <w:br/>
      </w:r>
      <w:hyperlink w:anchor="ttcn-3-verifications">
        <w:r>
          <w:rPr>
            <w:rStyle w:val="Hyperlink"/>
          </w:rPr>
          <w:t xml:space="preserve">8 TTCN-3 Verifications</w:t>
        </w:r>
      </w:hyperlink>
      <w:r>
        <w:br/>
      </w:r>
      <w:hyperlink w:anchor="annex-a-normative-ttcn-3-library-modules">
        <w:r>
          <w:rPr>
            <w:rStyle w:val="Hyperlink"/>
          </w:rPr>
          <w:t xml:space="preserve">Annex A (normative): TTCN-3 library modules</w:t>
        </w:r>
      </w:hyperlink>
      <w:r>
        <w:br/>
      </w:r>
      <w:r>
        <w:t xml:space="preserve">    </w:t>
      </w:r>
      <w:hyperlink w:anchor="X0cd3108841cdfd9edfba872c940aa31b301ea79">
        <w:r>
          <w:rPr>
            <w:rStyle w:val="Hyperlink"/>
          </w:rPr>
          <w:t xml:space="preserve">A.1 Electronic annex, zip file with TTCN-3 code</w:t>
        </w:r>
      </w:hyperlink>
      <w:r>
        <w:br/>
      </w:r>
      <w:hyperlink w:anchor="annex-b-informative-bibliography">
        <w:r>
          <w:rPr>
            <w:rStyle w:val="Hyperlink"/>
          </w:rPr>
          <w:t xml:space="preserve">Annex B (informative): Bibliography</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the Abstract Test Suite (ATS) for oneM2M as defined in oneM2M TS-0001</w:t>
      </w:r>
      <w:r>
        <w:t xml:space="preserve"> </w:t>
      </w:r>
      <w:r>
        <w:t xml:space="preserve">[1]</w:t>
      </w:r>
      <w:r>
        <w:t xml:space="preserve"> </w:t>
      </w:r>
      <w:r>
        <w:t xml:space="preserve">and oneM2M TS-0004</w:t>
      </w:r>
      <w:r>
        <w:t xml:space="preserve"> </w:t>
      </w:r>
      <w:r>
        <w:t xml:space="preserve">[2]</w:t>
      </w:r>
      <w:r>
        <w:t xml:space="preserve"> </w:t>
      </w:r>
      <w:r>
        <w:t xml:space="preserve">in compliance with the relevant requirements and in accordance with the relevant guidance given in ISO/IEC 96467</w:t>
      </w:r>
      <w:r>
        <w:t xml:space="preserve"> </w:t>
      </w:r>
      <w:r>
        <w:t xml:space="preserve">[i.6]</w:t>
      </w:r>
      <w:r>
        <w:t xml:space="preserve">.</w:t>
      </w:r>
    </w:p>
    <w:p>
      <w:pPr>
        <w:pStyle w:val="BodyText"/>
      </w:pPr>
      <w:r>
        <w:t xml:space="preserve">The objective of the present document is to provide a basis for conformance tests for oneM2M products giving a high probability of interoperability between different manufacturers’ equipment.</w:t>
      </w:r>
    </w:p>
    <w:p>
      <w:pPr>
        <w:pStyle w:val="BodyText"/>
      </w:pPr>
      <w:r>
        <w:t xml:space="preserve">The ISO standard for the methodology of conformance testing (ISO/IEC 9646-1</w:t>
      </w:r>
      <w:r>
        <w:t xml:space="preserve"> </w:t>
      </w:r>
      <w:r>
        <w:t xml:space="preserve">[i.4]</w:t>
      </w:r>
      <w:r>
        <w:t xml:space="preserve"> </w:t>
      </w:r>
      <w:r>
        <w:t xml:space="preserve">and ISO/IEC 9646-2</w:t>
      </w:r>
      <w:r>
        <w:t xml:space="preserve"> </w:t>
      </w:r>
      <w:r>
        <w:t xml:space="preserve">[i.5]</w:t>
      </w:r>
      <w:r>
        <w:t xml:space="preserve">) as well as oneM2M TS-0015</w:t>
      </w:r>
      <w:r>
        <w:t xml:space="preserve"> </w:t>
      </w:r>
      <w:r>
        <w:t xml:space="preserve">[i.2]</w:t>
      </w:r>
      <w:r>
        <w:t xml:space="preserve"> </w:t>
      </w:r>
      <w:r>
        <w:t xml:space="preserve">are used as a basis for the test methodology.</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3"/>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3"/>
        </w:numPr>
      </w:pPr>
      <w:r>
        <w:t xml:space="preserve">[2]</w:t>
      </w:r>
      <w:r>
        <w:t xml:space="preserve"> </w:t>
      </w:r>
      <w:r>
        <w:t xml:space="preserve">oneM2M TS-0004:</w:t>
      </w:r>
      <w:r>
        <w:t xml:space="preserve"> </w:t>
      </w:r>
      <w:r>
        <w:t xml:space="preserve">“Service Layer Core Protocol”</w:t>
      </w:r>
      <w:r>
        <w:t xml:space="preserve">.</w:t>
      </w:r>
    </w:p>
    <w:p>
      <w:pPr>
        <w:pStyle w:val="Compact"/>
        <w:numPr>
          <w:ilvl w:val="0"/>
          <w:numId w:val="1003"/>
        </w:numPr>
      </w:pPr>
      <w:r>
        <w:t xml:space="preserve">[3]</w:t>
      </w:r>
      <w:r>
        <w:t xml:space="preserve"> </w:t>
      </w:r>
      <w:r>
        <w:t xml:space="preserve">ETSI ES 201 873-1 (V4.5.1):</w:t>
      </w:r>
      <w:r>
        <w:t xml:space="preserve"> </w:t>
      </w:r>
      <w:r>
        <w:t xml:space="preserve">“Methods for Testing and Specification (MTS); The Testing and Test Control Notation version 3; Part 1: TTCN-3 Core Language”</w:t>
      </w:r>
      <w:r>
        <w:t xml:space="preserve">.</w:t>
      </w:r>
    </w:p>
    <w:p>
      <w:pPr>
        <w:pStyle w:val="Compact"/>
        <w:numPr>
          <w:ilvl w:val="0"/>
          <w:numId w:val="1003"/>
        </w:numPr>
      </w:pPr>
      <w:r>
        <w:t xml:space="preserve">[4]</w:t>
      </w:r>
      <w:r>
        <w:t xml:space="preserve"> </w:t>
      </w:r>
      <w:r>
        <w:t xml:space="preserve">oneM2M TS-0018:</w:t>
      </w:r>
      <w:r>
        <w:t xml:space="preserve"> </w:t>
      </w:r>
      <w:r>
        <w:t xml:space="preserve">“Test Suite Structure and Test Purposes”</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p>
      <w:pPr>
        <w:numPr>
          <w:ilvl w:val="0"/>
          <w:numId w:val="1004"/>
        </w:numPr>
      </w:pPr>
      <w:r>
        <w:t xml:space="preserve">[i.2]</w:t>
      </w:r>
      <w:r>
        <w:t xml:space="preserve"> </w:t>
      </w:r>
      <w:r>
        <w:t xml:space="preserve">oneM2M TS-0015:</w:t>
      </w:r>
      <w:r>
        <w:t xml:space="preserve"> </w:t>
      </w:r>
      <w:r>
        <w:t xml:space="preserve">“Testing Framework”</w:t>
      </w:r>
      <w:r>
        <w:t xml:space="preserve">.</w:t>
      </w:r>
    </w:p>
    <w:p>
      <w:pPr>
        <w:numPr>
          <w:ilvl w:val="0"/>
          <w:numId w:val="1004"/>
        </w:numPr>
      </w:pPr>
      <w:r>
        <w:t xml:space="preserve">[i.3]</w:t>
      </w:r>
      <w:r>
        <w:t xml:space="preserve"> </w:t>
      </w:r>
      <w:r>
        <w:t xml:space="preserve">oneM2M TS-0025:</w:t>
      </w:r>
      <w:r>
        <w:t xml:space="preserve"> </w:t>
      </w:r>
      <w:r>
        <w:t xml:space="preserve">“Product profiles”</w:t>
      </w:r>
      <w:r>
        <w:t xml:space="preserve">.</w:t>
      </w:r>
    </w:p>
    <w:p>
      <w:pPr>
        <w:numPr>
          <w:ilvl w:val="0"/>
          <w:numId w:val="1004"/>
        </w:numPr>
      </w:pPr>
      <w:r>
        <w:t xml:space="preserve">[i.4]</w:t>
      </w:r>
      <w:r>
        <w:t xml:space="preserve"> </w:t>
      </w:r>
      <w:r>
        <w:t xml:space="preserve">ISO/IEC 9646-1 (1994):</w:t>
      </w:r>
      <w:r>
        <w:t xml:space="preserve"> </w:t>
      </w:r>
      <w:r>
        <w:t xml:space="preserve">“Information technology - Open Systems Interconnection - Conformance testing methodology and framework - Part 1: General concepts”</w:t>
      </w:r>
      <w:r>
        <w:t xml:space="preserve">.</w:t>
      </w:r>
    </w:p>
    <w:p>
      <w:pPr>
        <w:numPr>
          <w:ilvl w:val="0"/>
          <w:numId w:val="1004"/>
        </w:numPr>
      </w:pPr>
      <w:r>
        <w:t xml:space="preserve">[i.5]</w:t>
      </w:r>
      <w:r>
        <w:t xml:space="preserve"> </w:t>
      </w:r>
      <w:r>
        <w:t xml:space="preserve">ISO/IEC 9646-2 (1994):</w:t>
      </w:r>
      <w:r>
        <w:t xml:space="preserve"> </w:t>
      </w:r>
      <w:r>
        <w:t xml:space="preserve">“Information technology - Open Systems Interconnection - Conformance testing methodology and framework - Part 2: Abstract Test Suite specification”</w:t>
      </w:r>
      <w:r>
        <w:t xml:space="preserve">.</w:t>
      </w:r>
    </w:p>
    <w:p>
      <w:pPr>
        <w:numPr>
          <w:ilvl w:val="0"/>
          <w:numId w:val="1004"/>
        </w:numPr>
      </w:pPr>
      <w:r>
        <w:t xml:space="preserve">[i.6]</w:t>
      </w:r>
      <w:r>
        <w:t xml:space="preserve"> </w:t>
      </w:r>
      <w:r>
        <w:t xml:space="preserve">ISO/IEC 9646-7 (1995):</w:t>
      </w:r>
      <w:r>
        <w:t xml:space="preserve"> </w:t>
      </w:r>
      <w:r>
        <w:t xml:space="preserve">“Information technology - Open Systems Interconnection - Conformance testing methodology and framework - Part 7: Implementation Conformance Statements”</w:t>
      </w:r>
      <w:r>
        <w:t xml:space="preserve">.</w:t>
      </w:r>
    </w:p>
    <w:bookmarkEnd w:id="27"/>
    <w:bookmarkEnd w:id="28"/>
    <w:bookmarkStart w:id="32" w:name="Xe254da9c2f303321d6c9a4dcbd53386c9eebb59"/>
    <w:p>
      <w:pPr>
        <w:pStyle w:val="Heading1"/>
      </w:pPr>
      <w:r>
        <w:t xml:space="preserve">3 Definition of terms, symbols and abbreviations</w:t>
      </w:r>
    </w:p>
    <w:bookmarkStart w:id="29" w:name="terms"/>
    <w:p>
      <w:pPr>
        <w:pStyle w:val="Heading2"/>
      </w:pPr>
      <w:r>
        <w:t xml:space="preserve">3.1 Terms</w:t>
      </w:r>
    </w:p>
    <w:p>
      <w:pPr>
        <w:pStyle w:val="FirstParagraph"/>
      </w:pPr>
      <w:r>
        <w:t xml:space="preserve">For the purposes of the present document, the terms given in ISO/IEC 9646-1</w:t>
      </w:r>
      <w:r>
        <w:t xml:space="preserve"> </w:t>
      </w:r>
      <w:r>
        <w:t xml:space="preserve">[i.4]</w:t>
      </w:r>
      <w:r>
        <w:t xml:space="preserve">, ISO/IEC 9646-7</w:t>
      </w:r>
      <w:r>
        <w:t xml:space="preserve"> </w:t>
      </w:r>
      <w:r>
        <w:t xml:space="preserve">[i.6]</w:t>
      </w:r>
      <w:r>
        <w:t xml:space="preserve"> </w:t>
      </w:r>
      <w:r>
        <w:t xml:space="preserve">and oneM2M TS-0015</w:t>
      </w:r>
      <w:r>
        <w:t xml:space="preserve"> </w:t>
      </w:r>
      <w:r>
        <w:t xml:space="preserve">[i.2]</w:t>
      </w:r>
      <w:r>
        <w:t xml:space="preserve"> </w:t>
      </w:r>
      <w:r>
        <w:t xml:space="preserve">apply.</w:t>
      </w:r>
    </w:p>
    <w:bookmarkEnd w:id="29"/>
    <w:bookmarkStart w:id="30" w:name="symbols"/>
    <w:p>
      <w:pPr>
        <w:pStyle w:val="Heading2"/>
      </w:pPr>
      <w:r>
        <w:t xml:space="preserve">3.2 Symbols</w:t>
      </w:r>
    </w:p>
    <w:p>
      <w:pPr>
        <w:pStyle w:val="FirstParagraph"/>
      </w:pPr>
      <w:r>
        <w:t xml:space="preserve">Void.</w:t>
      </w:r>
    </w:p>
    <w:bookmarkEnd w:id="30"/>
    <w:bookmarkStart w:id="31"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APT    Abstract Protocol Tester</w:t>
      </w:r>
      <w:r>
        <w:br/>
      </w:r>
      <w:r>
        <w:rPr>
          <w:rStyle w:val="VerbatimChar"/>
        </w:rPr>
        <w:t xml:space="preserve">ASP    Abstract Service Primitives</w:t>
      </w:r>
      <w:r>
        <w:br/>
      </w:r>
      <w:r>
        <w:rPr>
          <w:rStyle w:val="VerbatimChar"/>
        </w:rPr>
        <w:t xml:space="preserve">ATM    Abstract Test Method</w:t>
      </w:r>
      <w:r>
        <w:br/>
      </w:r>
      <w:r>
        <w:rPr>
          <w:rStyle w:val="VerbatimChar"/>
        </w:rPr>
        <w:t xml:space="preserve">ATS    Abstract Test Suite</w:t>
      </w:r>
      <w:r>
        <w:br/>
      </w:r>
      <w:r>
        <w:rPr>
          <w:rStyle w:val="VerbatimChar"/>
        </w:rPr>
        <w:t xml:space="preserve">CoAP    Constrained Application Protocol</w:t>
      </w:r>
      <w:r>
        <w:br/>
      </w:r>
      <w:r>
        <w:rPr>
          <w:rStyle w:val="VerbatimChar"/>
        </w:rPr>
        <w:t xml:space="preserve">CSE    Common Service Entity</w:t>
      </w:r>
      <w:r>
        <w:br/>
      </w:r>
      <w:r>
        <w:rPr>
          <w:rStyle w:val="VerbatimChar"/>
        </w:rPr>
        <w:t xml:space="preserve">HTTP    Hypertext Transfer Protocol</w:t>
      </w:r>
      <w:r>
        <w:br/>
      </w:r>
      <w:r>
        <w:rPr>
          <w:rStyle w:val="VerbatimChar"/>
        </w:rPr>
        <w:t xml:space="preserve">IP    Internet Protocol</w:t>
      </w:r>
      <w:r>
        <w:br/>
      </w:r>
      <w:r>
        <w:rPr>
          <w:rStyle w:val="VerbatimChar"/>
        </w:rPr>
        <w:t xml:space="preserve">IUT    Implementation Under Test</w:t>
      </w:r>
      <w:r>
        <w:br/>
      </w:r>
      <w:r>
        <w:rPr>
          <w:rStyle w:val="VerbatimChar"/>
        </w:rPr>
        <w:t xml:space="preserve">IXIT    Implementation eXtra Information for Test</w:t>
      </w:r>
      <w:r>
        <w:br/>
      </w:r>
      <w:r>
        <w:rPr>
          <w:rStyle w:val="VerbatimChar"/>
        </w:rPr>
        <w:t xml:space="preserve">JSON    JavaScript Object Notation</w:t>
      </w:r>
      <w:r>
        <w:br/>
      </w:r>
      <w:r>
        <w:rPr>
          <w:rStyle w:val="VerbatimChar"/>
        </w:rPr>
        <w:t xml:space="preserve">M2M     Machine to machine</w:t>
      </w:r>
      <w:r>
        <w:br/>
      </w:r>
      <w:r>
        <w:rPr>
          <w:rStyle w:val="VerbatimChar"/>
        </w:rPr>
        <w:t xml:space="preserve">MN     Middle Node</w:t>
      </w:r>
      <w:r>
        <w:br/>
      </w:r>
      <w:r>
        <w:rPr>
          <w:rStyle w:val="VerbatimChar"/>
        </w:rPr>
        <w:t xml:space="preserve">MQTT    Message Queuing Telemetry Transport</w:t>
      </w:r>
      <w:r>
        <w:br/>
      </w:r>
      <w:r>
        <w:rPr>
          <w:rStyle w:val="VerbatimChar"/>
        </w:rPr>
        <w:t xml:space="preserve">MTC    Main Test Component</w:t>
      </w:r>
      <w:r>
        <w:br/>
      </w:r>
      <w:r>
        <w:rPr>
          <w:rStyle w:val="VerbatimChar"/>
        </w:rPr>
        <w:t xml:space="preserve">PA    Platform Adaptor</w:t>
      </w:r>
      <w:r>
        <w:br/>
      </w:r>
      <w:r>
        <w:rPr>
          <w:rStyle w:val="VerbatimChar"/>
        </w:rPr>
        <w:t xml:space="preserve">PICS    Protocol Implementation Conformance Statement</w:t>
      </w:r>
      <w:r>
        <w:br/>
      </w:r>
      <w:r>
        <w:rPr>
          <w:rStyle w:val="VerbatimChar"/>
        </w:rPr>
        <w:t xml:space="preserve">PTC    Paralell Test Component</w:t>
      </w:r>
      <w:r>
        <w:br/>
      </w:r>
      <w:r>
        <w:rPr>
          <w:rStyle w:val="VerbatimChar"/>
        </w:rPr>
        <w:t xml:space="preserve">SA    System Adaptor</w:t>
      </w:r>
      <w:r>
        <w:br/>
      </w:r>
      <w:r>
        <w:rPr>
          <w:rStyle w:val="VerbatimChar"/>
        </w:rPr>
        <w:t xml:space="preserve">SUT    System Under Test</w:t>
      </w:r>
      <w:r>
        <w:br/>
      </w:r>
      <w:r>
        <w:rPr>
          <w:rStyle w:val="VerbatimChar"/>
        </w:rPr>
        <w:t xml:space="preserve">TC    Test Case</w:t>
      </w:r>
      <w:r>
        <w:br/>
      </w:r>
      <w:r>
        <w:rPr>
          <w:rStyle w:val="VerbatimChar"/>
        </w:rPr>
        <w:t xml:space="preserve">TCP    Transmission Control Protocol</w:t>
      </w:r>
      <w:r>
        <w:br/>
      </w:r>
      <w:r>
        <w:rPr>
          <w:rStyle w:val="VerbatimChar"/>
        </w:rPr>
        <w:t xml:space="preserve">TP    Test Purposes</w:t>
      </w:r>
      <w:r>
        <w:br/>
      </w:r>
      <w:r>
        <w:rPr>
          <w:rStyle w:val="VerbatimChar"/>
        </w:rPr>
        <w:t xml:space="preserve">TS    Test System</w:t>
      </w:r>
      <w:r>
        <w:br/>
      </w:r>
      <w:r>
        <w:rPr>
          <w:rStyle w:val="VerbatimChar"/>
        </w:rPr>
        <w:t xml:space="preserve">TSS    Test Suite Structure</w:t>
      </w:r>
      <w:r>
        <w:br/>
      </w:r>
      <w:r>
        <w:rPr>
          <w:rStyle w:val="VerbatimChar"/>
        </w:rPr>
        <w:t xml:space="preserve">TTCN    Tree and Tabular Combined Notation</w:t>
      </w:r>
      <w:r>
        <w:br/>
      </w:r>
      <w:r>
        <w:rPr>
          <w:rStyle w:val="VerbatimChar"/>
        </w:rPr>
        <w:t xml:space="preserve">UDP    User Datagram Protocol</w:t>
      </w:r>
      <w:r>
        <w:br/>
      </w:r>
      <w:r>
        <w:rPr>
          <w:rStyle w:val="VerbatimChar"/>
        </w:rPr>
        <w:t xml:space="preserve">UT    Upper Tester</w:t>
      </w:r>
      <w:r>
        <w:br/>
      </w:r>
      <w:r>
        <w:rPr>
          <w:rStyle w:val="VerbatimChar"/>
        </w:rPr>
        <w:t xml:space="preserve">XML    eXtensible Markup Language</w:t>
      </w:r>
    </w:p>
    <w:bookmarkEnd w:id="31"/>
    <w:bookmarkEnd w:id="32"/>
    <w:bookmarkStart w:id="33"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r>
        <w:t xml:space="preserve">.</w:t>
      </w:r>
    </w:p>
    <w:bookmarkEnd w:id="33"/>
    <w:bookmarkStart w:id="77" w:name="abstract-test-method-atm"/>
    <w:p>
      <w:pPr>
        <w:pStyle w:val="Heading1"/>
      </w:pPr>
      <w:r>
        <w:t xml:space="preserve">5 Abstract Test Method (ATM)</w:t>
      </w:r>
    </w:p>
    <w:bookmarkStart w:id="37" w:name="abstract-protocol-tester-apt"/>
    <w:p>
      <w:pPr>
        <w:pStyle w:val="Heading2"/>
      </w:pPr>
      <w:r>
        <w:t xml:space="preserve">5.1 Abstract protocol tester (APT)</w:t>
      </w:r>
    </w:p>
    <w:p>
      <w:pPr>
        <w:pStyle w:val="FirstParagraph"/>
      </w:pPr>
      <w:r>
        <w:t xml:space="preserve">An abstract protocol tester (APT) is a process that provides behaviours for testing an IUT by emulating a peer IUT at the same layer, and enabling to address a single test objective.</w:t>
      </w:r>
    </w:p>
    <w:p>
      <w:pPr>
        <w:pStyle w:val="BodyText"/>
      </w:pPr>
      <w:r>
        <w:t xml:space="preserve">APTs used by the oneM2M test suite are described in figure 5.1-1. The test system will simulate valid and invalid protocol behaviour, and will analyse the reaction of the IUT.</w:t>
      </w:r>
    </w:p>
    <w:p>
      <w:pPr>
        <w:pStyle w:val="CaptionedFigure"/>
      </w:pPr>
      <w:r>
        <w:drawing>
          <wp:inline>
            <wp:extent cx="6108700" cy="3688271"/>
            <wp:effectExtent b="0" l="0" r="0" t="0"/>
            <wp:docPr descr="Figure 5.1-1: Abstract protocol testers - oneM2M" title="" id="35" name="Picture"/>
            <a:graphic>
              <a:graphicData uri="http://schemas.openxmlformats.org/drawingml/2006/picture">
                <pic:pic>
                  <pic:nvPicPr>
                    <pic:cNvPr descr="media/image2.png" id="36" name="Picture"/>
                    <pic:cNvPicPr>
                      <a:picLocks noChangeArrowheads="1" noChangeAspect="1"/>
                    </pic:cNvPicPr>
                  </pic:nvPicPr>
                  <pic:blipFill>
                    <a:blip r:embed="rId34"/>
                    <a:stretch>
                      <a:fillRect/>
                    </a:stretch>
                  </pic:blipFill>
                  <pic:spPr bwMode="auto">
                    <a:xfrm>
                      <a:off x="0" y="0"/>
                      <a:ext cx="6108700" cy="3688271"/>
                    </a:xfrm>
                    <a:prstGeom prst="rect">
                      <a:avLst/>
                    </a:prstGeom>
                    <a:noFill/>
                    <a:ln w="9525">
                      <a:noFill/>
                      <a:headEnd/>
                      <a:tailEnd/>
                    </a:ln>
                  </pic:spPr>
                </pic:pic>
              </a:graphicData>
            </a:graphic>
          </wp:inline>
        </w:drawing>
      </w:r>
    </w:p>
    <w:p>
      <w:pPr>
        <w:pStyle w:val="ImageCaption"/>
      </w:pPr>
      <w:r>
        <w:t xml:space="preserve">Figure 5.1-1: Abstract protocol testers - oneM2M</w:t>
      </w:r>
    </w:p>
    <w:p>
      <w:pPr>
        <w:pStyle w:val="BodyText"/>
      </w:pPr>
      <w:r>
        <w:t xml:space="preserve">As figure 5.1-1 illustrates, the corresponding ATS needs to use lower layers to establish a proper connection to the system under test (SUT) over a physical link (Lower layers link). Four different lower layers have been specified corresponding to the binding protocols considered in oneM2M: HTTP, CoAP, WebSocket and MQTT.</w:t>
      </w:r>
    </w:p>
    <w:bookmarkEnd w:id="37"/>
    <w:bookmarkStart w:id="42" w:name="test-configuration"/>
    <w:p>
      <w:pPr>
        <w:pStyle w:val="Heading2"/>
      </w:pPr>
      <w:r>
        <w:t xml:space="preserve">5.2 Test Configuration</w:t>
      </w:r>
    </w:p>
    <w:bookmarkStart w:id="41" w:name="ae-test-configuration"/>
    <w:p>
      <w:pPr>
        <w:pStyle w:val="Heading3"/>
      </w:pPr>
      <w:r>
        <w:t xml:space="preserve">5.2.1 AE Test Configuration</w:t>
      </w:r>
    </w:p>
    <w:p>
      <w:pPr>
        <w:pStyle w:val="FirstParagraph"/>
      </w:pPr>
      <w:r>
        <w:t xml:space="preserve">Test configurations are defined to test different entities such as CSE and AE, etc.</w:t>
      </w:r>
    </w:p>
    <w:p>
      <w:pPr>
        <w:pStyle w:val="BodyText"/>
      </w:pPr>
      <w:r>
        <w:t xml:space="preserve">Figure 5.2.1-1 shows a AE test configuration which is mapped to CF03 in clause 6.3.3.3 in oneM2M TS0015</w:t>
      </w:r>
      <w:r>
        <w:t xml:space="preserve"> </w:t>
      </w:r>
      <w:r>
        <w:t xml:space="preserve">[i.2]</w:t>
      </w:r>
      <w:r>
        <w:t xml:space="preserve"> </w:t>
      </w:r>
      <w:r>
        <w:t xml:space="preserve">and aligns with conformance test system architecture in clause 6.3.3.2 in oneM2M TS-0015</w:t>
      </w:r>
      <w:r>
        <w:t xml:space="preserve"> </w:t>
      </w:r>
      <w:r>
        <w:t xml:space="preserve">[i.2]</w:t>
      </w:r>
      <w:r>
        <w:t xml:space="preserve">.</w:t>
      </w:r>
    </w:p>
    <w:p>
      <w:pPr>
        <w:pStyle w:val="BodyText"/>
      </w:pPr>
      <w:r>
        <w:t xml:space="preserve">The TTCN-3 Test Component in Test System sends triggering actions or behaviour to the Upper Tester Application of SUT through upper tester transport link</w:t>
      </w:r>
      <w:r>
        <w:t xml:space="preserve"> </w:t>
      </w:r>
      <w:r>
        <w:rPr>
          <w:i/>
          <w:iCs/>
        </w:rPr>
        <w:t xml:space="preserve">Ut</w:t>
      </w:r>
      <w:r>
        <w:t xml:space="preserve"> </w:t>
      </w:r>
      <w:r>
        <w:t xml:space="preserve">while the IUT sends/receives oneM2M service primitives through Mca to/from CSE in Test System.</w:t>
      </w:r>
    </w:p>
    <w:p>
      <w:pPr>
        <w:pStyle w:val="CaptionedFigure"/>
      </w:pPr>
      <w:r>
        <w:drawing>
          <wp:inline>
            <wp:extent cx="6108700" cy="2872302"/>
            <wp:effectExtent b="0" l="0" r="0" t="0"/>
            <wp:docPr descr="Figure 5.2.1-1: AE test configuration" title="" id="39" name="Picture"/>
            <a:graphic>
              <a:graphicData uri="http://schemas.openxmlformats.org/drawingml/2006/picture">
                <pic:pic>
                  <pic:nvPicPr>
                    <pic:cNvPr descr="media/image6.png" id="40" name="Picture"/>
                    <pic:cNvPicPr>
                      <a:picLocks noChangeArrowheads="1" noChangeAspect="1"/>
                    </pic:cNvPicPr>
                  </pic:nvPicPr>
                  <pic:blipFill>
                    <a:blip r:embed="rId38"/>
                    <a:stretch>
                      <a:fillRect/>
                    </a:stretch>
                  </pic:blipFill>
                  <pic:spPr bwMode="auto">
                    <a:xfrm>
                      <a:off x="0" y="0"/>
                      <a:ext cx="6108700" cy="2872302"/>
                    </a:xfrm>
                    <a:prstGeom prst="rect">
                      <a:avLst/>
                    </a:prstGeom>
                    <a:noFill/>
                    <a:ln w="9525">
                      <a:noFill/>
                      <a:headEnd/>
                      <a:tailEnd/>
                    </a:ln>
                  </pic:spPr>
                </pic:pic>
              </a:graphicData>
            </a:graphic>
          </wp:inline>
        </w:drawing>
      </w:r>
    </w:p>
    <w:p>
      <w:pPr>
        <w:pStyle w:val="ImageCaption"/>
      </w:pPr>
      <w:r>
        <w:t xml:space="preserve">Figure 5.2.1-1: AE test configuration</w:t>
      </w:r>
    </w:p>
    <w:bookmarkEnd w:id="41"/>
    <w:bookmarkEnd w:id="42"/>
    <w:bookmarkStart w:id="49" w:name="test-architecture"/>
    <w:p>
      <w:pPr>
        <w:pStyle w:val="Heading2"/>
      </w:pPr>
      <w:r>
        <w:t xml:space="preserve">5.3 Test architecture</w:t>
      </w:r>
    </w:p>
    <w:p>
      <w:pPr>
        <w:pStyle w:val="FirstParagraph"/>
      </w:pPr>
      <w:r>
        <w:t xml:space="preserve">The approach for the implementation of an Abstract Protocol Tester selected in oneM2M follows the recommendation of the oneM2M Testing Framework oneM2M TS-0015</w:t>
      </w:r>
      <w:r>
        <w:t xml:space="preserve"> </w:t>
      </w:r>
      <w:r>
        <w:t xml:space="preserve">[i.2]</w:t>
      </w:r>
      <w:r>
        <w:t xml:space="preserve"> </w:t>
      </w:r>
      <w:r>
        <w:t xml:space="preserve">where the TTCN-3 language and its architecture are recommended.</w:t>
      </w:r>
    </w:p>
    <w:p>
      <w:pPr>
        <w:pStyle w:val="BodyText"/>
      </w:pPr>
      <w:r>
        <w:t xml:space="preserve">Following this recommendation the oneM2M tester architecture comprises a non-platform dependent Test Suite, and a platform dependent part.</w:t>
      </w:r>
    </w:p>
    <w:p>
      <w:pPr>
        <w:pStyle w:val="CaptionedFigure"/>
      </w:pPr>
      <w:r>
        <w:drawing>
          <wp:inline>
            <wp:extent cx="5848477" cy="2595914"/>
            <wp:effectExtent b="0" l="0" r="0" t="0"/>
            <wp:docPr descr="Figure 5.3-1: High level oneM2M Test Architecture" title="" id="44" name="Picture"/>
            <a:graphic>
              <a:graphicData uri="http://schemas.openxmlformats.org/drawingml/2006/picture">
                <pic:pic>
                  <pic:nvPicPr>
                    <pic:cNvPr descr="media/image7.png" id="45" name="Picture"/>
                    <pic:cNvPicPr>
                      <a:picLocks noChangeArrowheads="1" noChangeAspect="1"/>
                    </pic:cNvPicPr>
                  </pic:nvPicPr>
                  <pic:blipFill>
                    <a:blip r:embed="rId43"/>
                    <a:stretch>
                      <a:fillRect/>
                    </a:stretch>
                  </pic:blipFill>
                  <pic:spPr bwMode="auto">
                    <a:xfrm>
                      <a:off x="0" y="0"/>
                      <a:ext cx="5848477" cy="2595914"/>
                    </a:xfrm>
                    <a:prstGeom prst="rect">
                      <a:avLst/>
                    </a:prstGeom>
                    <a:noFill/>
                    <a:ln w="9525">
                      <a:noFill/>
                      <a:headEnd/>
                      <a:tailEnd/>
                    </a:ln>
                  </pic:spPr>
                </pic:pic>
              </a:graphicData>
            </a:graphic>
          </wp:inline>
        </w:drawing>
      </w:r>
    </w:p>
    <w:p>
      <w:pPr>
        <w:pStyle w:val="ImageCaption"/>
      </w:pPr>
      <w:r>
        <w:t xml:space="preserve">Figure 5.3-1: High level oneM2M Test Architecture</w:t>
      </w:r>
    </w:p>
    <w:p>
      <w:pPr>
        <w:pStyle w:val="BlockText"/>
      </w:pPr>
      <w:r>
        <w:t xml:space="preserve">NOTE: However, it can be implemented in a semi-independent manner, which will minimize the dependency to those elements.</w:t>
      </w:r>
    </w:p>
    <w:p>
      <w:pPr>
        <w:pStyle w:val="Compact"/>
        <w:numPr>
          <w:ilvl w:val="0"/>
          <w:numId w:val="1005"/>
        </w:numPr>
      </w:pPr>
      <w:r>
        <w:rPr>
          <w:b/>
          <w:bCs/>
        </w:rPr>
        <w:t xml:space="preserve">oneM2M</w:t>
      </w:r>
      <w:r>
        <w:t xml:space="preserve"> </w:t>
      </w:r>
      <w:r>
        <w:rPr>
          <w:b/>
          <w:bCs/>
        </w:rPr>
        <w:t xml:space="preserve">TTCN</w:t>
      </w:r>
      <w:r>
        <w:t xml:space="preserve"> </w:t>
      </w:r>
      <w:r>
        <w:rPr>
          <w:b/>
          <w:bCs/>
        </w:rPr>
        <w:t xml:space="preserve">-3</w:t>
      </w:r>
      <w:r>
        <w:t xml:space="preserve"> </w:t>
      </w:r>
      <w:r>
        <w:rPr>
          <w:b/>
          <w:bCs/>
        </w:rPr>
        <w:t xml:space="preserve">Abstract</w:t>
      </w:r>
      <w:r>
        <w:t xml:space="preserve"> </w:t>
      </w:r>
      <w:r>
        <w:rPr>
          <w:b/>
          <w:bCs/>
        </w:rPr>
        <w:t xml:space="preserve">Test Suite:</w:t>
      </w:r>
      <w:r>
        <w:t xml:space="preserve"> </w:t>
      </w:r>
      <w:r>
        <w:t xml:space="preserve">the test suite is platform independent, and it is the cornerstone of the architecture. It allows a complete decoupling between the test suite and the rest of the test system. The test suite is composed of a complete set of test cases covering oneM2M requirements specified by oneM2M TS0001</w:t>
      </w:r>
      <w:r>
        <w:t xml:space="preserve"> </w:t>
      </w:r>
      <w:r>
        <w:t xml:space="preserve">[1]</w:t>
      </w:r>
      <w:r>
        <w:t xml:space="preserve"> </w:t>
      </w:r>
      <w:r>
        <w:t xml:space="preserve">and oneM2M TS-0004</w:t>
      </w:r>
      <w:r>
        <w:t xml:space="preserve"> </w:t>
      </w:r>
      <w:r>
        <w:t xml:space="preserve">[2]</w:t>
      </w:r>
      <w:r>
        <w:t xml:space="preserve">.</w:t>
      </w:r>
    </w:p>
    <w:p>
      <w:pPr>
        <w:pStyle w:val="Compact"/>
        <w:numPr>
          <w:ilvl w:val="0"/>
          <w:numId w:val="1005"/>
        </w:numPr>
      </w:pPr>
      <w:r>
        <w:rPr>
          <w:b/>
          <w:bCs/>
        </w:rPr>
        <w:t xml:space="preserve">oneM2M System Adaptor</w:t>
      </w:r>
      <w:r>
        <w:t xml:space="preserve"> </w:t>
      </w:r>
      <w:r>
        <w:rPr>
          <w:b/>
          <w:bCs/>
        </w:rPr>
        <w:t xml:space="preserve">:</w:t>
      </w:r>
      <w:r>
        <w:t xml:space="preserve"> </w:t>
      </w:r>
      <w:r>
        <w:t xml:space="preserve">this is the platform dependent part that includes adaptors and codecs (out of the scope of the present document). This part of the architecture definition depends on the specific platform (e.g. Windows® or Linux®) and test tool on which the tester is going to run.</w:t>
      </w:r>
    </w:p>
    <w:p>
      <w:pPr>
        <w:pStyle w:val="FirstParagraph"/>
      </w:pPr>
      <w:r>
        <w:t xml:space="preserve">Figure 5.3-2 shows the oneM2M TTCN-3 test architecture design used for the oneM2M ATS. The Test Suite needs to interact with the System Adaptor to implement the collection of TTCN-3 test cases that are intended to be used to test the oneM2M IUTs.</w:t>
      </w:r>
    </w:p>
    <w:p>
      <w:pPr>
        <w:pStyle w:val="BodyText"/>
      </w:pPr>
      <w:r>
        <w:t xml:space="preserve">The oneM2M TTCN-3 test cases implement the test algorithms specified in the TSS&amp;TP document oneM2M TS0018</w:t>
      </w:r>
      <w:r>
        <w:t xml:space="preserve"> </w:t>
      </w:r>
      <w:r>
        <w:t xml:space="preserve">[4]</w:t>
      </w:r>
      <w:r>
        <w:t xml:space="preserve">, including verdict logic that allows pass/fail diagnosis.</w:t>
      </w:r>
    </w:p>
    <w:p>
      <w:pPr>
        <w:pStyle w:val="BodyText"/>
      </w:pPr>
      <w:r>
        <w:t xml:space="preserve">The test algorithms use the interfaces defined in</w:t>
      </w:r>
      <w:r>
        <w:t xml:space="preserve"> </w:t>
      </w:r>
      <w:r>
        <w:t xml:space="preserve">[1]</w:t>
      </w:r>
      <w:r>
        <w:t xml:space="preserve"> </w:t>
      </w:r>
      <w:r>
        <w:t xml:space="preserve">and</w:t>
      </w:r>
      <w:r>
        <w:t xml:space="preserve"> </w:t>
      </w:r>
      <w:r>
        <w:t xml:space="preserve">[2]</w:t>
      </w:r>
      <w:r>
        <w:t xml:space="preserve"> </w:t>
      </w:r>
      <w:r>
        <w:t xml:space="preserve">(mca, mcc) in order to:</w:t>
      </w:r>
    </w:p>
    <w:p>
      <w:pPr>
        <w:pStyle w:val="Compact"/>
        <w:numPr>
          <w:ilvl w:val="0"/>
          <w:numId w:val="1006"/>
        </w:numPr>
      </w:pPr>
      <w:r>
        <w:t xml:space="preserve">control the test event to be sent towards the IUT; and</w:t>
      </w:r>
    </w:p>
    <w:p>
      <w:pPr>
        <w:pStyle w:val="Compact"/>
        <w:numPr>
          <w:ilvl w:val="0"/>
          <w:numId w:val="1006"/>
        </w:numPr>
      </w:pPr>
      <w:r>
        <w:t xml:space="preserve">observe the test events received from the IUT.</w:t>
      </w:r>
    </w:p>
    <w:p>
      <w:pPr>
        <w:pStyle w:val="FirstParagraph"/>
      </w:pPr>
      <w:r>
        <w:t xml:space="preserve">In TTCN-3 these two interfaces have been implemented through a set of logical TTCN-3 ports (mcaPort and mcaPortIn for mca interface, and mccPort and mccPortIn for mcc interface) which allows oneM2M message primitives exchange with the IUT.</w:t>
      </w:r>
    </w:p>
    <w:p>
      <w:pPr>
        <w:pStyle w:val="CaptionedFigure"/>
      </w:pPr>
      <w:r>
        <w:drawing>
          <wp:inline>
            <wp:extent cx="6108700" cy="4638574"/>
            <wp:effectExtent b="0" l="0" r="0" t="0"/>
            <wp:docPr descr="Figure 5.3-2: oneM2M Test Architecture" title="" id="47" name="Picture"/>
            <a:graphic>
              <a:graphicData uri="http://schemas.openxmlformats.org/drawingml/2006/picture">
                <pic:pic>
                  <pic:nvPicPr>
                    <pic:cNvPr descr="media/image8.png" id="48" name="Picture"/>
                    <pic:cNvPicPr>
                      <a:picLocks noChangeArrowheads="1" noChangeAspect="1"/>
                    </pic:cNvPicPr>
                  </pic:nvPicPr>
                  <pic:blipFill>
                    <a:blip r:embed="rId46"/>
                    <a:stretch>
                      <a:fillRect/>
                    </a:stretch>
                  </pic:blipFill>
                  <pic:spPr bwMode="auto">
                    <a:xfrm>
                      <a:off x="0" y="0"/>
                      <a:ext cx="6108700" cy="4638574"/>
                    </a:xfrm>
                    <a:prstGeom prst="rect">
                      <a:avLst/>
                    </a:prstGeom>
                    <a:noFill/>
                    <a:ln w="9525">
                      <a:noFill/>
                      <a:headEnd/>
                      <a:tailEnd/>
                    </a:ln>
                  </pic:spPr>
                </pic:pic>
              </a:graphicData>
            </a:graphic>
          </wp:inline>
        </w:drawing>
      </w:r>
    </w:p>
    <w:p>
      <w:pPr>
        <w:pStyle w:val="ImageCaption"/>
      </w:pPr>
      <w:r>
        <w:t xml:space="preserve">Figure 5.3-2: oneM2M Test Architecture</w:t>
      </w:r>
    </w:p>
    <w:p>
      <w:pPr>
        <w:pStyle w:val="BodyText"/>
      </w:pPr>
      <w:r>
        <w:t xml:space="preserve">The oneM2M primitive messages have been mapped into TTCN-3 structure. Through this mapping, the TTCN-3 is able to build and send these messages, as well as receive them via the ports defined above.</w:t>
      </w:r>
    </w:p>
    <w:p>
      <w:pPr>
        <w:pStyle w:val="BodyText"/>
      </w:pPr>
      <w:r>
        <w:t xml:space="preserve">Additionally, the test cases are able to control and configure the test platform through a dedicated port called acPort while port utPort enables oneM2M TTCN-3 Test Component module to trigger specific action or behaviour on IUT. TTCN3 Test Components can also exchange information through a dedicated port called infoPort.</w:t>
      </w:r>
    </w:p>
    <w:p>
      <w:pPr>
        <w:pStyle w:val="BodyText"/>
      </w:pPr>
      <w:r>
        <w:t xml:space="preserve">To build up a tester, the test platform needs to be also developed (out of scope). This test platform is composed of three adaptation layers:</w:t>
      </w:r>
    </w:p>
    <w:p>
      <w:pPr>
        <w:numPr>
          <w:ilvl w:val="0"/>
          <w:numId w:val="1007"/>
        </w:numPr>
      </w:pPr>
      <w:r>
        <w:t xml:space="preserve">PA (Platform Adaptor) layer functionality implements the communication between the TTCN-3 modules and external elements that constitute the test tool such as timers and external functions. The External functions are a powerful resources supported by TTCN-3 language. An External function is a function declared at the TTCN-3 level but implemented at the native level.</w:t>
      </w:r>
    </w:p>
    <w:p>
      <w:pPr>
        <w:numPr>
          <w:ilvl w:val="0"/>
          <w:numId w:val="1007"/>
        </w:numPr>
      </w:pPr>
      <w:r>
        <w:t xml:space="preserve">SA (System Adaptor) layer functionality is divided into two modules:</w:t>
      </w:r>
    </w:p>
    <w:p>
      <w:pPr>
        <w:pStyle w:val="Compact"/>
        <w:numPr>
          <w:ilvl w:val="1"/>
          <w:numId w:val="1008"/>
        </w:numPr>
      </w:pPr>
      <w:r>
        <w:t xml:space="preserve">oneM2M lower layers stack module implements the communication with the IUT and carries out the oneM2M primitives messages sent to or received from the IUT. This module is based on TCP or UDP depending on the binding supported by the IUT. The binding is a system adaptor parameter.</w:t>
      </w:r>
    </w:p>
    <w:p>
      <w:pPr>
        <w:pStyle w:val="Compact"/>
        <w:numPr>
          <w:ilvl w:val="1"/>
          <w:numId w:val="1008"/>
        </w:numPr>
      </w:pPr>
      <w:r>
        <w:t xml:space="preserve">Upper Tester Transport module implements functions that enable triggering specific actions or behaviour on the IUT.</w:t>
      </w:r>
    </w:p>
    <w:p>
      <w:pPr>
        <w:numPr>
          <w:ilvl w:val="0"/>
          <w:numId w:val="1007"/>
        </w:numPr>
      </w:pPr>
      <w:r>
        <w:t xml:space="preserve">CODECS layer is the part of the tester to encode and decode messages between the TTCN-3 abstract internal data representation and the format required by the related base standard which the IUT understands. Several CODECS are required in oneM2M tester to cope with the bindings considered in oneM2M (HTTP, CoAP, MQTT) and the serialization methods (xml, json).</w:t>
      </w:r>
    </w:p>
    <w:bookmarkEnd w:id="49"/>
    <w:bookmarkStart w:id="68" w:name="Xf91af437398fc541e397b520f5e15a719c8a2ac"/>
    <w:p>
      <w:pPr>
        <w:pStyle w:val="Heading2"/>
      </w:pPr>
      <w:r>
        <w:t xml:space="preserve">5.4 Ports and ASPs (Abstract Services Primitives)</w:t>
      </w:r>
    </w:p>
    <w:bookmarkStart w:id="50" w:name="introduction"/>
    <w:p>
      <w:pPr>
        <w:pStyle w:val="Heading3"/>
      </w:pPr>
      <w:r>
        <w:t xml:space="preserve">5.4.0 Introduction</w:t>
      </w:r>
    </w:p>
    <w:p>
      <w:pPr>
        <w:pStyle w:val="FirstParagraph"/>
      </w:pPr>
      <w:r>
        <w:t xml:space="preserve">The oneM2M ATS implements the following ports:</w:t>
      </w:r>
    </w:p>
    <w:p>
      <w:pPr>
        <w:pStyle w:val="Compact"/>
        <w:numPr>
          <w:ilvl w:val="0"/>
          <w:numId w:val="1009"/>
        </w:numPr>
      </w:pPr>
      <w:r>
        <w:t xml:space="preserve">The mcaPort and mcaPortIn</w:t>
      </w:r>
    </w:p>
    <w:p>
      <w:pPr>
        <w:pStyle w:val="Compact"/>
        <w:numPr>
          <w:ilvl w:val="0"/>
          <w:numId w:val="1009"/>
        </w:numPr>
      </w:pPr>
      <w:r>
        <w:t xml:space="preserve">The mccPort and mccPortIn</w:t>
      </w:r>
    </w:p>
    <w:p>
      <w:pPr>
        <w:pStyle w:val="Compact"/>
        <w:numPr>
          <w:ilvl w:val="0"/>
          <w:numId w:val="1009"/>
        </w:numPr>
      </w:pPr>
      <w:r>
        <w:t xml:space="preserve">The acPort</w:t>
      </w:r>
    </w:p>
    <w:p>
      <w:pPr>
        <w:pStyle w:val="Compact"/>
        <w:numPr>
          <w:ilvl w:val="0"/>
          <w:numId w:val="1009"/>
        </w:numPr>
      </w:pPr>
      <w:r>
        <w:t xml:space="preserve">The utPort</w:t>
      </w:r>
    </w:p>
    <w:p>
      <w:pPr>
        <w:pStyle w:val="Compact"/>
        <w:numPr>
          <w:ilvl w:val="0"/>
          <w:numId w:val="1009"/>
        </w:numPr>
      </w:pPr>
      <w:r>
        <w:t xml:space="preserve">The InfoPort</w:t>
      </w:r>
    </w:p>
    <w:bookmarkEnd w:id="50"/>
    <w:bookmarkStart w:id="51" w:name="mcaport-mcaportin-mccport-mccportin"/>
    <w:p>
      <w:pPr>
        <w:pStyle w:val="Heading3"/>
      </w:pPr>
      <w:r>
        <w:t xml:space="preserve">5.4.1 mcaPort, mcaPortIn, mccPort, mccPortIn</w:t>
      </w:r>
    </w:p>
    <w:p>
      <w:pPr>
        <w:pStyle w:val="FirstParagraph"/>
      </w:pPr>
      <w:r>
        <w:t xml:space="preserve">These ports are used to send and receive the following message sets:</w:t>
      </w:r>
    </w:p>
    <w:p>
      <w:pPr>
        <w:pStyle w:val="Compact"/>
        <w:numPr>
          <w:ilvl w:val="0"/>
          <w:numId w:val="1010"/>
        </w:numPr>
      </w:pPr>
      <w:r>
        <w:t xml:space="preserve">Request Primitives messages in accordance with oneM2M TS-0004</w:t>
      </w:r>
      <w:r>
        <w:t xml:space="preserve"> </w:t>
      </w:r>
      <w:r>
        <w:t xml:space="preserve">[2]</w:t>
      </w:r>
      <w:r>
        <w:t xml:space="preserve">.</w:t>
      </w:r>
    </w:p>
    <w:p>
      <w:pPr>
        <w:pStyle w:val="Compact"/>
        <w:numPr>
          <w:ilvl w:val="0"/>
          <w:numId w:val="1010"/>
        </w:numPr>
      </w:pPr>
      <w:r>
        <w:t xml:space="preserve">Response Primitives messages in accordance with oneM2M TS-0004</w:t>
      </w:r>
      <w:r>
        <w:t xml:space="preserve"> </w:t>
      </w:r>
      <w:r>
        <w:t xml:space="preserve">[2]</w:t>
      </w:r>
      <w:r>
        <w:t xml:space="preserve">.</w:t>
      </w:r>
    </w:p>
    <w:p>
      <w:pPr>
        <w:pStyle w:val="FirstParagraph"/>
      </w:pPr>
      <w:r>
        <w:t xml:space="preserve">Two primitives are currently defined for these ports indicated as table 5.4.1-1:</w:t>
      </w:r>
    </w:p>
    <w:p>
      <w:pPr>
        <w:pStyle w:val="Compact"/>
        <w:numPr>
          <w:ilvl w:val="0"/>
          <w:numId w:val="1011"/>
        </w:numPr>
      </w:pPr>
      <w:r>
        <w:t xml:space="preserve">The M2MRequestPrimitive - to send or receive oneM2M messages to/from the IUT. Depending on the IUT to be tested:</w:t>
      </w:r>
    </w:p>
    <w:p>
      <w:pPr>
        <w:pStyle w:val="Compact"/>
        <w:numPr>
          <w:ilvl w:val="1"/>
          <w:numId w:val="1012"/>
        </w:numPr>
      </w:pPr>
      <w:r>
        <w:t xml:space="preserve">If the IUT is an AE, these messages are either received or sent by the tester which is associated with the CSE role through the mcaPortIn or the mcaPort respectively.</w:t>
      </w:r>
    </w:p>
    <w:p>
      <w:pPr>
        <w:pStyle w:val="Compact"/>
        <w:numPr>
          <w:ilvl w:val="1"/>
          <w:numId w:val="1012"/>
        </w:numPr>
      </w:pPr>
      <w:r>
        <w:t xml:space="preserve">If the IUT is a CSE, these messages are either sent or received by the tester when it plays the AE role through the mcaPort or the mcaPortIn respectively, or sent or received by the tester when it plays the CSE role through the mccPort or the mccPortIn respectively.</w:t>
      </w:r>
    </w:p>
    <w:p>
      <w:pPr>
        <w:pStyle w:val="Compact"/>
        <w:numPr>
          <w:ilvl w:val="0"/>
          <w:numId w:val="1011"/>
        </w:numPr>
      </w:pPr>
      <w:r>
        <w:t xml:space="preserve">The M2MResponsePrimitive - to send or receive oneM2M messages to/from the IUT. Depending on the IUT to be tested:</w:t>
      </w:r>
    </w:p>
    <w:p>
      <w:pPr>
        <w:pStyle w:val="Compact"/>
        <w:numPr>
          <w:ilvl w:val="1"/>
          <w:numId w:val="1013"/>
        </w:numPr>
      </w:pPr>
      <w:r>
        <w:t xml:space="preserve">If the IUT is an AE, these messages are either sent or received by the tester which is associated with the CSE role through the mcaPortIn or the mcaPort respectively.</w:t>
      </w:r>
    </w:p>
    <w:p>
      <w:pPr>
        <w:pStyle w:val="Compact"/>
        <w:numPr>
          <w:ilvl w:val="1"/>
          <w:numId w:val="1013"/>
        </w:numPr>
      </w:pPr>
      <w:r>
        <w:t xml:space="preserve">If the IUT is a CSE, these messages are either sent or received by the tester when it plays the CSE role through the mccPortIn or the mccPort respectively, sent or received by the tester when it plays the AE role through the mcaPortIn or mcaPort respectively.</w:t>
      </w:r>
    </w:p>
    <w:p>
      <w:pPr>
        <w:pStyle w:val="FirstParagraph"/>
      </w:pPr>
      <w:r>
        <w:t xml:space="preserve">Both primitives contain another parameters that permits to dynamically configure the test adaptor for every single sending. These parameters are:</w:t>
      </w:r>
    </w:p>
    <w:p>
      <w:pPr>
        <w:pStyle w:val="Compact"/>
        <w:numPr>
          <w:ilvl w:val="0"/>
          <w:numId w:val="1014"/>
        </w:numPr>
      </w:pPr>
      <w:r>
        <w:t xml:space="preserve">Host: IP address of the IUT</w:t>
      </w:r>
    </w:p>
    <w:p>
      <w:pPr>
        <w:pStyle w:val="Compact"/>
        <w:numPr>
          <w:ilvl w:val="0"/>
          <w:numId w:val="1014"/>
        </w:numPr>
      </w:pPr>
      <w:r>
        <w:t xml:space="preserve">XML Namespace</w:t>
      </w:r>
    </w:p>
    <w:p>
      <w:pPr>
        <w:pStyle w:val="Compact"/>
        <w:numPr>
          <w:ilvl w:val="0"/>
          <w:numId w:val="1014"/>
        </w:numPr>
      </w:pPr>
      <w:r>
        <w:t xml:space="preserve">Protocol binding</w:t>
      </w:r>
    </w:p>
    <w:p>
      <w:pPr>
        <w:pStyle w:val="Compact"/>
        <w:numPr>
          <w:ilvl w:val="0"/>
          <w:numId w:val="1014"/>
        </w:numPr>
      </w:pPr>
      <w:r>
        <w:t xml:space="preserve">Serialization</w:t>
      </w:r>
    </w:p>
    <w:p>
      <w:pPr>
        <w:pStyle w:val="Compact"/>
        <w:numPr>
          <w:ilvl w:val="0"/>
          <w:numId w:val="1014"/>
        </w:numPr>
      </w:pPr>
      <w:r>
        <w:t xml:space="preserve">ForceFields: used to force invalid or empty values to certain attributes. This behaviour shall be implemented by the System Adaptor.</w:t>
      </w:r>
    </w:p>
    <w:p>
      <w:pPr>
        <w:pStyle w:val="TableCaption"/>
      </w:pPr>
      <w:r>
        <w:t xml:space="preserve">Table 5.4.1-1: Mapping of TTCN-3 Primitives to oneM2M Service Primitives</w:t>
      </w:r>
    </w:p>
    <w:tbl>
      <w:tblPr>
        <w:tblStyle w:val="Table"/>
        <w:tblW w:type="pct" w:w="4375"/>
        <w:tblLayout w:type="fixed"/>
        <w:tblLook w:firstRow="1" w:lastRow="0" w:firstColumn="0" w:lastColumn="0" w:noHBand="0" w:noVBand="0" w:val="0020"/>
        <w:tblCaption w:val="Table 5.4.1-1: Mapping of TTCN-3 Primitives to oneM2M Service Primitives"/>
      </w:tblPr>
      <w:tblGrid>
        <w:gridCol w:w="2530"/>
        <w:gridCol w:w="2200"/>
        <w:gridCol w:w="1540"/>
        <w:gridCol w:w="660"/>
      </w:tblGrid>
      <w:tr>
        <w:trPr>
          <w:tblHeader w:val="on"/>
        </w:trPr>
        <w:tc>
          <w:tcPr/>
          <w:p>
            <w:pPr>
              <w:pStyle w:val="Compact"/>
              <w:jc w:val="center"/>
            </w:pPr>
            <w:r>
              <w:t xml:space="preserve">TTCN-3 Primitive</w:t>
            </w:r>
          </w:p>
        </w:tc>
        <w:tc>
          <w:tcPr/>
          <w:p>
            <w:pPr>
              <w:pStyle w:val="Compact"/>
              <w:jc w:val="center"/>
            </w:pPr>
            <w:r>
              <w:t xml:space="preserve">oneM2M Message</w:t>
            </w:r>
          </w:p>
        </w:tc>
        <w:tc>
          <w:tcPr/>
          <w:p>
            <w:pPr>
              <w:pStyle w:val="Compact"/>
              <w:jc w:val="center"/>
            </w:pPr>
            <w:r>
              <w:t xml:space="preserve">Direction</w:t>
            </w:r>
          </w:p>
        </w:tc>
        <w:tc>
          <w:tcPr/>
          <w:p>
            <w:pPr>
              <w:pStyle w:val="Compact"/>
              <w:jc w:val="center"/>
            </w:pPr>
            <w:r>
              <w:t xml:space="preserve">IUT</w:t>
            </w:r>
          </w:p>
        </w:tc>
      </w:tr>
      <w:tr>
        <w:tc>
          <w:tcPr>
            <w:vMerge w:val="restart"/>
          </w:tcPr>
          <w:p>
            <w:pPr>
              <w:pStyle w:val="Compact"/>
              <w:jc w:val="center"/>
            </w:pPr>
            <w:r>
              <w:t xml:space="preserve">M2MRequestPrimitive</w:t>
            </w:r>
          </w:p>
        </w:tc>
        <w:tc>
          <w:tcPr>
            <w:vMerge w:val="restart"/>
          </w:tcPr>
          <w:p>
            <w:pPr>
              <w:pStyle w:val="Compact"/>
              <w:jc w:val="center"/>
            </w:pPr>
            <w:r>
              <w:t xml:space="preserve">Request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r>
        <w:tc>
          <w:tcPr>
            <w:vMerge w:val="restart"/>
          </w:tcPr>
          <w:p>
            <w:pPr>
              <w:pStyle w:val="Compact"/>
              <w:jc w:val="center"/>
            </w:pPr>
            <w:r>
              <w:t xml:space="preserve">M2MResponsePrimitive</w:t>
            </w:r>
          </w:p>
        </w:tc>
        <w:tc>
          <w:tcPr>
            <w:vMerge w:val="restart"/>
          </w:tcPr>
          <w:p>
            <w:pPr>
              <w:pStyle w:val="Compact"/>
              <w:jc w:val="center"/>
            </w:pPr>
            <w:r>
              <w:t xml:space="preserve">Respomse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bl>
    <w:bookmarkEnd w:id="51"/>
    <w:bookmarkStart w:id="65" w:name="utport"/>
    <w:p>
      <w:pPr>
        <w:pStyle w:val="Heading3"/>
      </w:pPr>
      <w:r>
        <w:t xml:space="preserve">5.4.2 utPort</w:t>
      </w:r>
    </w:p>
    <w:bookmarkStart w:id="52" w:name="introduction-1"/>
    <w:p>
      <w:pPr>
        <w:pStyle w:val="Heading4"/>
      </w:pPr>
      <w:r>
        <w:t xml:space="preserve">5.4.2.0 Introduction</w:t>
      </w:r>
    </w:p>
    <w:p>
      <w:pPr>
        <w:pStyle w:val="FirstParagraph"/>
      </w:pPr>
      <w:r>
        <w:t xml:space="preserve">The utPort is included in the oneM2M ATS in order to be able to stimulate the IUT and receive extra information from IUT upper layers. For instance, the utPort can be applied to automate AE testing shown as clause 5.4.2.1.</w:t>
      </w:r>
    </w:p>
    <w:bookmarkEnd w:id="52"/>
    <w:bookmarkStart w:id="56" w:name="usage-for-automated-ae-testing"/>
    <w:p>
      <w:pPr>
        <w:pStyle w:val="Heading4"/>
      </w:pPr>
      <w:r>
        <w:t xml:space="preserve">5.4.2.1 Usage for Automated AE Testing</w:t>
      </w:r>
    </w:p>
    <w:p>
      <w:pPr>
        <w:pStyle w:val="FirstParagraph"/>
      </w:pPr>
      <w:r>
        <w:t xml:space="preserve">The utPort is in charge of the communication between TTCN-3 Test Component module in Test System and the Upper Tester Application in SUT.</w:t>
      </w:r>
    </w:p>
    <w:p>
      <w:pPr>
        <w:pStyle w:val="BodyText"/>
      </w:pPr>
      <w:r>
        <w:t xml:space="preserve">Functionalities that TTCN-3 Test Component module and the Upper Tester Application are required to implement are listed as follows:</w:t>
      </w:r>
    </w:p>
    <w:p>
      <w:pPr>
        <w:pStyle w:val="Compact"/>
        <w:numPr>
          <w:ilvl w:val="0"/>
          <w:numId w:val="1015"/>
        </w:numPr>
      </w:pPr>
      <w:r>
        <w:t xml:space="preserve">TTCN-3 Test Component is able to configure the Test System and send standardized triggering commands to the SUT (Upper Tester Application).</w:t>
      </w:r>
    </w:p>
    <w:p>
      <w:pPr>
        <w:pStyle w:val="Compact"/>
        <w:numPr>
          <w:ilvl w:val="0"/>
          <w:numId w:val="1015"/>
        </w:numPr>
      </w:pPr>
      <w:r>
        <w:t xml:space="preserve">Upper Tester Application can process the triggering command messages received from Test System (TTCN-3 Test Component) and stimulates IUT to act following the corresponding triggering command (i.e. sending oneM2M service primitives to Test System through Mca port).</w:t>
      </w:r>
    </w:p>
    <w:p>
      <w:pPr>
        <w:pStyle w:val="FirstParagraph"/>
      </w:pPr>
      <w:r>
        <w:t xml:space="preserve">oneM2M service Primitive defined for utPort is listed as follows:</w:t>
      </w:r>
    </w:p>
    <w:p>
      <w:pPr>
        <w:pStyle w:val="Compact"/>
        <w:numPr>
          <w:ilvl w:val="0"/>
          <w:numId w:val="1016"/>
        </w:numPr>
      </w:pPr>
      <w:r>
        <w:t xml:space="preserve">The UtTrigger primitive is used to trigger upper layer events in IUT (i.e. sending oneM2M service primitives to Test System through Mca port).</w:t>
      </w:r>
    </w:p>
    <w:p>
      <w:pPr>
        <w:pStyle w:val="Compact"/>
        <w:numPr>
          <w:ilvl w:val="0"/>
          <w:numId w:val="1016"/>
        </w:numPr>
      </w:pPr>
      <w:r>
        <w:t xml:space="preserve">The UtTriggerAck primitive is used by IUT to send acknowledgement back to the Test System.</w:t>
      </w:r>
    </w:p>
    <w:p>
      <w:pPr>
        <w:pStyle w:val="FirstParagraph"/>
      </w:pPr>
      <w:r>
        <w:t xml:space="preserve">The Upper Tester Application in SUT can be implemented as an embedded source code. An example for implementation of automated AE test for Registration is shown as figure 5.4.2.1-1.</w:t>
      </w:r>
    </w:p>
    <w:p>
      <w:pPr>
        <w:pStyle w:val="CaptionedFigure"/>
      </w:pPr>
      <w:r>
        <w:drawing>
          <wp:inline>
            <wp:extent cx="6108700" cy="3049452"/>
            <wp:effectExtent b="0" l="0" r="0" t="0"/>
            <wp:docPr descr="Figure 5.4.2.1-1: Example of automated AE test using Ut interface" title="" id="54" name="Picture"/>
            <a:graphic>
              <a:graphicData uri="http://schemas.openxmlformats.org/drawingml/2006/picture">
                <pic:pic>
                  <pic:nvPicPr>
                    <pic:cNvPr descr="media/image9.png" id="55" name="Picture"/>
                    <pic:cNvPicPr>
                      <a:picLocks noChangeArrowheads="1" noChangeAspect="1"/>
                    </pic:cNvPicPr>
                  </pic:nvPicPr>
                  <pic:blipFill>
                    <a:blip r:embed="rId53"/>
                    <a:stretch>
                      <a:fillRect/>
                    </a:stretch>
                  </pic:blipFill>
                  <pic:spPr bwMode="auto">
                    <a:xfrm>
                      <a:off x="0" y="0"/>
                      <a:ext cx="6108700" cy="3049452"/>
                    </a:xfrm>
                    <a:prstGeom prst="rect">
                      <a:avLst/>
                    </a:prstGeom>
                    <a:noFill/>
                    <a:ln w="9525">
                      <a:noFill/>
                      <a:headEnd/>
                      <a:tailEnd/>
                    </a:ln>
                  </pic:spPr>
                </pic:pic>
              </a:graphicData>
            </a:graphic>
          </wp:inline>
        </w:drawing>
      </w:r>
    </w:p>
    <w:p>
      <w:pPr>
        <w:pStyle w:val="ImageCaption"/>
      </w:pPr>
      <w:r>
        <w:t xml:space="preserve">Figure 5.4.2.1-1: Example of automated AE test using Ut interface</w:t>
      </w:r>
    </w:p>
    <w:bookmarkEnd w:id="56"/>
    <w:bookmarkStart w:id="64" w:name="upper-tester-control-primitives"/>
    <w:p>
      <w:pPr>
        <w:pStyle w:val="Heading4"/>
      </w:pPr>
      <w:r>
        <w:t xml:space="preserve">5.4.2.2 Upper Tester Control Primitives</w:t>
      </w:r>
    </w:p>
    <w:bookmarkStart w:id="57" w:name="introduction-2"/>
    <w:p>
      <w:pPr>
        <w:pStyle w:val="Heading5"/>
      </w:pPr>
      <w:r>
        <w:t xml:space="preserve">5.4.2.2.1 Introduction</w:t>
      </w:r>
    </w:p>
    <w:p>
      <w:pPr>
        <w:pStyle w:val="FirstParagraph"/>
      </w:pPr>
      <w:r>
        <w:t xml:space="preserve">The upper tester triggering message is used to transport control commands between Test System and the Upper Tester Application. The control command will contain essential parameters that are required for certain test case.</w:t>
      </w:r>
    </w:p>
    <w:p>
      <w:pPr>
        <w:pStyle w:val="BodyText"/>
      </w:pPr>
      <w:r>
        <w:t xml:space="preserve">The upper tester triggering message type maps to particular message formats for exchanging data and those message formats are defined by TTCN-3 primitive as shown at table 5.4.2.2.1-1,</w:t>
      </w:r>
      <w:r>
        <w:t xml:space="preserve"> </w:t>
      </w:r>
      <w:r>
        <w:rPr>
          <w:i/>
          <w:iCs/>
        </w:rPr>
        <w:t xml:space="preserve">U</w:t>
      </w:r>
      <w:r>
        <w:t xml:space="preserve"> </w:t>
      </w:r>
      <w:r>
        <w:rPr>
          <w:i/>
          <w:iCs/>
        </w:rPr>
        <w:t xml:space="preserve">tTrigger</w:t>
      </w:r>
      <w:r>
        <w:t xml:space="preserve"> </w:t>
      </w:r>
      <w:r>
        <w:t xml:space="preserve">and</w:t>
      </w:r>
      <w:r>
        <w:t xml:space="preserve"> </w:t>
      </w:r>
      <w:r>
        <w:rPr>
          <w:i/>
          <w:iCs/>
        </w:rPr>
        <w:t xml:space="preserve">U</w:t>
      </w:r>
      <w:r>
        <w:t xml:space="preserve"> </w:t>
      </w:r>
      <w:r>
        <w:rPr>
          <w:i/>
          <w:iCs/>
        </w:rPr>
        <w:t xml:space="preserve">tTriggerAck</w:t>
      </w:r>
      <w:r>
        <w:t xml:space="preserve"> </w:t>
      </w:r>
      <w:r>
        <w:t xml:space="preserve">primitive.</w:t>
      </w:r>
    </w:p>
    <w:p>
      <w:pPr>
        <w:pStyle w:val="TableCaption"/>
      </w:pPr>
      <w:r>
        <w:t xml:space="preserve">Table 5.4.2.2.1-1: Mapping of TTCN-3 Primitives to oneM2M Service Primitives</w:t>
      </w:r>
    </w:p>
    <w:tbl>
      <w:tblPr>
        <w:tblStyle w:val="Table"/>
        <w:tblW w:type="auto" w:w="0"/>
        <w:tblLook w:firstRow="1" w:lastRow="0" w:firstColumn="0" w:lastColumn="0" w:noHBand="0" w:noVBand="0" w:val="0020"/>
        <w:tblCaption w:val="Table 5.4.2.2.1-1: Mapping of TTCN-3 Primitives to oneM2M Service Primitives"/>
      </w:tblPr>
      <w:tblGrid>
        <w:gridCol w:w="2640"/>
        <w:gridCol w:w="2640"/>
        <w:gridCol w:w="2640"/>
      </w:tblGrid>
      <w:tr>
        <w:trPr>
          <w:tblHeader w:val="on"/>
        </w:trPr>
        <w:tc>
          <w:tcPr/>
          <w:p>
            <w:pPr>
              <w:pStyle w:val="Compact"/>
            </w:pPr>
            <w:r>
              <w:t xml:space="preserve">Upper Tester Control Message Type</w:t>
            </w:r>
          </w:p>
        </w:tc>
        <w:tc>
          <w:tcPr/>
          <w:p>
            <w:pPr>
              <w:pStyle w:val="Compact"/>
            </w:pPr>
            <w:r>
              <w:t xml:space="preserve">TTCN-3 Primitives</w:t>
            </w:r>
          </w:p>
        </w:tc>
        <w:tc>
          <w:tcPr/>
          <w:p>
            <w:pPr>
              <w:pStyle w:val="Compact"/>
            </w:pPr>
            <w:r>
              <w:t xml:space="preserve">Direction</w:t>
            </w:r>
          </w:p>
        </w:tc>
      </w:tr>
      <w:tr>
        <w:tc>
          <w:tcPr/>
          <w:p>
            <w:pPr>
              <w:pStyle w:val="Compact"/>
            </w:pPr>
            <w:r>
              <w:t xml:space="preserve">Trigger</w:t>
            </w:r>
          </w:p>
        </w:tc>
        <w:tc>
          <w:tcPr/>
          <w:p>
            <w:pPr>
              <w:pStyle w:val="Compact"/>
            </w:pPr>
            <w:r>
              <w:t xml:space="preserve">UtTrigger Primitive</w:t>
            </w:r>
          </w:p>
        </w:tc>
        <w:tc>
          <w:tcPr/>
          <w:p>
            <w:pPr>
              <w:pStyle w:val="Compact"/>
            </w:pPr>
            <w:r>
              <w:t xml:space="preserve">TS → UT</w:t>
            </w:r>
          </w:p>
        </w:tc>
      </w:tr>
      <w:tr>
        <w:tc>
          <w:tcPr/>
          <w:p>
            <w:pPr>
              <w:pStyle w:val="Compact"/>
            </w:pPr>
            <w:r>
              <w:t xml:space="preserve">Trigger Acknowledgement</w:t>
            </w:r>
          </w:p>
        </w:tc>
        <w:tc>
          <w:tcPr/>
          <w:p>
            <w:pPr>
              <w:pStyle w:val="Compact"/>
            </w:pPr>
            <w:r>
              <w:t xml:space="preserve">UtTriggerAck Primitive</w:t>
            </w:r>
          </w:p>
        </w:tc>
        <w:tc>
          <w:tcPr/>
          <w:p>
            <w:pPr>
              <w:pStyle w:val="Compact"/>
            </w:pPr>
            <w:r>
              <w:t xml:space="preserve">UT → TS</w:t>
            </w:r>
          </w:p>
        </w:tc>
      </w:tr>
    </w:tbl>
    <w:bookmarkEnd w:id="57"/>
    <w:bookmarkStart w:id="61" w:name="uttrigger-and-uttriggerack-primitives"/>
    <w:p>
      <w:pPr>
        <w:pStyle w:val="Heading5"/>
      </w:pPr>
      <w:r>
        <w:t xml:space="preserve">5.4.2.2.2 UtTrigger and UtTriggerAck Primitives</w:t>
      </w:r>
    </w:p>
    <w:p>
      <w:pPr>
        <w:pStyle w:val="FirstParagraph"/>
      </w:pPr>
      <w:r>
        <w:t xml:space="preserve">The UtTrigger primitive is initialized by the Test System to send triggering message to the target IUT as depicted in figure 5.4.2.2.2-1. The IUT will send acknowledgement message back to the Test System using UtTriggerAck primitive if trigger message is successfully transported to the IUT. Then IUT starts interaction with Test System through oneM2M request and response primitives.</w:t>
      </w:r>
    </w:p>
    <w:p>
      <w:pPr>
        <w:pStyle w:val="CaptionedFigure"/>
      </w:pPr>
      <w:r>
        <w:drawing>
          <wp:inline>
            <wp:extent cx="1659751" cy="1083448"/>
            <wp:effectExtent b="0" l="0" r="0" t="0"/>
            <wp:docPr descr="Figure 5.4.2.2.2-1: Trigger message flow" title="" id="59" name="Picture"/>
            <a:graphic>
              <a:graphicData uri="http://schemas.openxmlformats.org/drawingml/2006/picture">
                <pic:pic>
                  <pic:nvPicPr>
                    <pic:cNvPr descr="media/image10.png" id="60" name="Picture"/>
                    <pic:cNvPicPr>
                      <a:picLocks noChangeArrowheads="1" noChangeAspect="1"/>
                    </pic:cNvPicPr>
                  </pic:nvPicPr>
                  <pic:blipFill>
                    <a:blip r:embed="rId58"/>
                    <a:stretch>
                      <a:fillRect/>
                    </a:stretch>
                  </pic:blipFill>
                  <pic:spPr bwMode="auto">
                    <a:xfrm>
                      <a:off x="0" y="0"/>
                      <a:ext cx="1659751" cy="1083448"/>
                    </a:xfrm>
                    <a:prstGeom prst="rect">
                      <a:avLst/>
                    </a:prstGeom>
                    <a:noFill/>
                    <a:ln w="9525">
                      <a:noFill/>
                      <a:headEnd/>
                      <a:tailEnd/>
                    </a:ln>
                  </pic:spPr>
                </pic:pic>
              </a:graphicData>
            </a:graphic>
          </wp:inline>
        </w:drawing>
      </w:r>
    </w:p>
    <w:p>
      <w:pPr>
        <w:pStyle w:val="ImageCaption"/>
      </w:pPr>
      <w:r>
        <w:t xml:space="preserve">Figure 5.4.2.2.2-1: Trigger message flow</w:t>
      </w:r>
    </w:p>
    <w:p>
      <w:pPr>
        <w:pStyle w:val="BodyText"/>
      </w:pPr>
      <w:r>
        <w:t xml:space="preserve">Table 5.4.2.2.2-1 defines UtTrigger and UtTriggerAck primitives including oneM2M data types to which are mapped as well as examples to show how to implement UtTrigger and UtTriggerAck primitives.</w:t>
      </w:r>
    </w:p>
    <w:p>
      <w:pPr>
        <w:pStyle w:val="TableCaption"/>
      </w:pPr>
      <w:r>
        <w:t xml:space="preserve">Table 5.4.2.2.2-1: UtTrigger and UtTriggerAck Primitive</w:t>
      </w:r>
    </w:p>
    <w:tbl>
      <w:tblPr>
        <w:tblStyle w:val="Table"/>
        <w:tblW w:type="pct" w:w="4883"/>
        <w:tblLayout w:type="fixed"/>
        <w:tblLook w:firstRow="1" w:lastRow="0" w:firstColumn="0" w:lastColumn="0" w:noHBand="0" w:noVBand="0" w:val="0020"/>
        <w:tblCaption w:val="Table 5.4.2.2.2-1: UtTrigger and UtTriggerAck Primitive"/>
      </w:tblPr>
      <w:tblGrid>
        <w:gridCol w:w="972"/>
        <w:gridCol w:w="926"/>
        <w:gridCol w:w="880"/>
        <w:gridCol w:w="1204"/>
        <w:gridCol w:w="1852"/>
        <w:gridCol w:w="1898"/>
      </w:tblGrid>
      <w:tr>
        <w:trPr>
          <w:tblHeader w:val="on"/>
        </w:trPr>
        <w:tc>
          <w:tcPr/>
          <w:p>
            <w:pPr>
              <w:pStyle w:val="Compact"/>
              <w:jc w:val="left"/>
            </w:pPr>
            <w:r>
              <w:t xml:space="preserve">Ut Control Primitive</w:t>
            </w:r>
            <w:r>
              <w:t xml:space="preserve"> </w:t>
            </w:r>
            <w:r>
              <w:t xml:space="preserve">message</w:t>
            </w:r>
          </w:p>
        </w:tc>
        <w:tc>
          <w:tcPr/>
          <w:p>
            <w:pPr>
              <w:pStyle w:val="Compact"/>
              <w:jc w:val="left"/>
            </w:pPr>
            <w:r>
              <w:t xml:space="preserve">Mapping to oneM2M</w:t>
            </w:r>
            <w:r>
              <w:t xml:space="preserve"> </w:t>
            </w:r>
            <w:r>
              <w:t xml:space="preserve">data types</w:t>
            </w:r>
          </w:p>
        </w:tc>
        <w:tc>
          <w:tcPr/>
          <w:p>
            <w:pPr>
              <w:pStyle w:val="Compact"/>
              <w:jc w:val="left"/>
            </w:pPr>
            <w:r>
              <w:t xml:space="preserve">Description</w:t>
            </w:r>
          </w:p>
        </w:tc>
        <w:tc>
          <w:tcPr/>
          <w:p>
            <w:pPr>
              <w:pStyle w:val="Compact"/>
              <w:jc w:val="left"/>
            </w:pPr>
            <w:r>
              <w:t xml:space="preserve">Reference</w:t>
            </w:r>
          </w:p>
        </w:tc>
        <w:tc>
          <w:tcPr/>
          <w:p>
            <w:pPr>
              <w:pStyle w:val="Compact"/>
              <w:jc w:val="left"/>
            </w:pPr>
            <w:r>
              <w:t xml:space="preserve">Triggering Message</w:t>
            </w:r>
          </w:p>
        </w:tc>
        <w:tc>
          <w:tcPr/>
          <w:p>
            <w:pPr>
              <w:pStyle w:val="Compact"/>
              <w:jc w:val="left"/>
            </w:pPr>
            <w:r>
              <w:t xml:space="preserve">HTTP</w:t>
            </w:r>
          </w:p>
        </w:tc>
      </w:tr>
      <w:tr>
        <w:tc>
          <w:tcPr>
            <w:vMerge w:val="restart"/>
          </w:tcPr>
          <w:p>
            <w:pPr>
              <w:pStyle w:val="Compact"/>
              <w:jc w:val="left"/>
            </w:pPr>
            <w:r>
              <w:rPr>
                <w:i/>
                <w:iCs/>
              </w:rPr>
              <w:t xml:space="preserve">UtTrigger</w:t>
            </w:r>
            <w:r>
              <w:t xml:space="preserve"> </w:t>
            </w:r>
            <w:r>
              <w:rPr>
                <w:i/>
                <w:iCs/>
              </w:rPr>
              <w:t xml:space="preserve">Primitive</w:t>
            </w:r>
          </w:p>
        </w:tc>
        <w:tc>
          <w:tcPr>
            <w:vMerge w:val="restart"/>
          </w:tcPr>
          <w:p>
            <w:pPr>
              <w:pStyle w:val="Compact"/>
              <w:jc w:val="left"/>
            </w:pPr>
            <w:r>
              <w:rPr>
                <w:i/>
                <w:iCs/>
              </w:rPr>
              <w:t xml:space="preserve">requestPrimitive</w:t>
            </w:r>
          </w:p>
        </w:tc>
        <w:tc>
          <w:tcPr>
            <w:vMerge w:val="restart"/>
          </w:tcPr>
          <w:p>
            <w:pPr>
              <w:pStyle w:val="Compact"/>
              <w:jc w:val="left"/>
            </w:pPr>
            <w:r>
              <w:t xml:space="preserve">ONLY essential</w:t>
            </w:r>
            <w:r>
              <w:t xml:space="preserve"> </w:t>
            </w:r>
            <w:r>
              <w:t xml:space="preserve">parameters</w:t>
            </w:r>
            <w:r>
              <w:t xml:space="preserve"> </w:t>
            </w:r>
            <w:r>
              <w:t xml:space="preserve">included for</w:t>
            </w:r>
            <w:r>
              <w:t xml:space="preserve"> </w:t>
            </w:r>
            <w:r>
              <w:t xml:space="preserve">certain test</w:t>
            </w:r>
            <w:r>
              <w:t xml:space="preserve"> </w:t>
            </w:r>
            <w:r>
              <w:t xml:space="preserve">case</w:t>
            </w:r>
            <w:r>
              <w:br/>
            </w:r>
            <w:r>
              <w:t xml:space="preserve">See NOTE 1</w:t>
            </w:r>
          </w:p>
        </w:tc>
        <w:tc>
          <w:tcPr>
            <w:vMerge w:val="restart"/>
          </w:tcPr>
          <w:p>
            <w:pPr>
              <w:pStyle w:val="Compact"/>
              <w:jc w:val="left"/>
            </w:pPr>
            <w:r>
              <w:t xml:space="preserve">oneM2M TS-0004</w:t>
            </w:r>
            <w:r>
              <w:t xml:space="preserve"> </w:t>
            </w:r>
            <w:r>
              <w:t xml:space="preserve">[2]</w:t>
            </w:r>
          </w:p>
        </w:tc>
        <w:tc>
          <w:tcPr>
            <w:gridSpan w:val="2"/>
          </w:tcPr>
          <w:p>
            <w:pPr>
              <w:pStyle w:val="Compact"/>
              <w:jc w:val="left"/>
            </w:pPr>
            <w:r>
              <w:rPr>
                <w:b/>
                <w:bCs/>
              </w:rPr>
              <w:t xml:space="preserve">EXAMPLE</w:t>
            </w:r>
            <w:r>
              <w:t xml:space="preserve"> </w:t>
            </w:r>
            <w:r>
              <w:rPr>
                <w:b/>
                <w:bCs/>
              </w:rPr>
              <w:t xml:space="preserve">1:</w:t>
            </w:r>
            <w:r>
              <w:t xml:space="preserve"> </w:t>
            </w:r>
            <w:r>
              <w:t xml:space="preserve">If the test objective is to test</w:t>
            </w:r>
            <w:r>
              <w:t xml:space="preserve"> </w:t>
            </w:r>
            <w:r>
              <w:rPr>
                <w:b/>
                <w:bCs/>
                <w:i/>
                <w:iCs/>
              </w:rPr>
              <w:t xml:space="preserve">“Test</w:t>
            </w:r>
            <w:r>
              <w:rPr>
                <w:b/>
                <w:bCs/>
                <w:i/>
                <w:iCs/>
              </w:rPr>
              <w:t xml:space="preserve"> </w:t>
            </w:r>
            <w:r>
              <w:rPr>
                <w:b/>
                <w:bCs/>
                <w:i/>
                <w:iCs/>
              </w:rPr>
              <w:t xml:space="preserve">triggers</w:t>
            </w:r>
            <w:r>
              <w:rPr>
                <w:b/>
                <w:bCs/>
              </w:rPr>
              <w:t xml:space="preserve"> </w:t>
            </w:r>
            <w:r>
              <w:rPr>
                <w:b/>
                <w:bCs/>
                <w:i/>
                <w:iCs/>
              </w:rPr>
              <w:t xml:space="preserve">IUT</w:t>
            </w:r>
            <w:r>
              <w:rPr>
                <w:b/>
                <w:bCs/>
              </w:rPr>
              <w:t xml:space="preserve"> </w:t>
            </w:r>
            <w:r>
              <w:rPr>
                <w:b/>
                <w:bCs/>
                <w:i/>
                <w:iCs/>
              </w:rPr>
              <w:t xml:space="preserve">to execute a test case for creation of &lt;</w:t>
            </w:r>
            <w:r>
              <w:rPr>
                <w:b/>
                <w:bCs/>
              </w:rPr>
              <w:t xml:space="preserve"> </w:t>
            </w:r>
            <w:r>
              <w:rPr>
                <w:b/>
                <w:bCs/>
                <w:i/>
                <w:iCs/>
              </w:rPr>
              <w:t xml:space="preserve">AE</w:t>
            </w:r>
            <w:r>
              <w:rPr>
                <w:b/>
                <w:bCs/>
              </w:rPr>
              <w:t xml:space="preserve"> </w:t>
            </w:r>
            <w:r>
              <w:rPr>
                <w:b/>
                <w:bCs/>
                <w:i/>
                <w:iCs/>
              </w:rPr>
              <w:t xml:space="preserve">&gt;</w:t>
            </w:r>
            <w:r>
              <w:rPr>
                <w:b/>
                <w:bCs/>
                <w:i/>
                <w:iCs/>
              </w:rPr>
              <w:t xml:space="preserve"> </w:t>
            </w:r>
            <w:r>
              <w:rPr>
                <w:b/>
                <w:bCs/>
                <w:i/>
                <w:iCs/>
              </w:rPr>
              <w:t xml:space="preserve">with abels attribute under a</w:t>
            </w:r>
            <w:r>
              <w:rPr>
                <w:b/>
                <w:bCs/>
              </w:rPr>
              <w:t xml:space="preserve"> </w:t>
            </w:r>
            <w:r>
              <w:rPr>
                <w:b/>
                <w:bCs/>
                <w:i/>
                <w:iCs/>
              </w:rPr>
              <w:t xml:space="preserve">CSEBase</w:t>
            </w:r>
            <w:r>
              <w:rPr>
                <w:b/>
                <w:bCs/>
              </w:rPr>
              <w:t xml:space="preserve"> </w:t>
            </w:r>
            <w:r>
              <w:rPr>
                <w:b/>
                <w:bCs/>
                <w:i/>
                <w:iCs/>
              </w:rPr>
              <w:t xml:space="preserve">resource</w:t>
            </w:r>
            <w:r>
              <w:rPr>
                <w:b/>
                <w:bCs/>
              </w:rPr>
              <w:t xml:space="preserve">"</w:t>
            </w:r>
            <w:r>
              <w:t xml:space="preserve">, then</w:t>
            </w:r>
            <w:r>
              <w:t xml:space="preserve"> </w:t>
            </w:r>
            <w:r>
              <w:t xml:space="preserve">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t xml:space="preserve"> </w:t>
            </w:r>
            <w:r>
              <w:t xml:space="preserve"> }</w:t>
            </w:r>
            <w:r>
              <w:t xml:space="preserve"> </w:t>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gridSpan w:val="2"/>
          </w:tcPr>
          <w:p>
            <w:pPr>
              <w:pStyle w:val="Compact"/>
              <w:jc w:val="left"/>
            </w:pPr>
            <w:r>
              <w:rPr>
                <w:b/>
                <w:bCs/>
              </w:rPr>
              <w:t xml:space="preserve">EXAMPLE</w:t>
            </w:r>
            <w:r>
              <w:t xml:space="preserve"> </w:t>
            </w:r>
            <w:r>
              <w:rPr>
                <w:b/>
                <w:bCs/>
              </w:rPr>
              <w:t xml:space="preserve">2:</w:t>
            </w:r>
            <w:r>
              <w:t xml:space="preserve"> </w:t>
            </w:r>
            <w:r>
              <w:t xml:space="preserve">If the test objective is to test **</w:t>
            </w:r>
            <w:r>
              <w:rPr>
                <w:i/>
                <w:iCs/>
              </w:rPr>
              <w:t xml:space="preserve">“Test System</w:t>
            </w:r>
            <w:r>
              <w:rPr>
                <w:i/>
                <w:iCs/>
              </w:rPr>
              <w:t xml:space="preserve"> </w:t>
            </w:r>
            <w:r>
              <w:rPr>
                <w:i/>
                <w:iCs/>
              </w:rPr>
              <w:t xml:space="preserve">triggers</w:t>
            </w:r>
            <w:r>
              <w:t xml:space="preserve"> </w:t>
            </w:r>
            <w:r>
              <w:rPr>
                <w:i/>
                <w:iCs/>
              </w:rPr>
              <w:t xml:space="preserve">IUT</w:t>
            </w:r>
            <w:r>
              <w:t xml:space="preserve"> </w:t>
            </w:r>
            <w:r>
              <w:rPr>
                <w:i/>
                <w:iCs/>
              </w:rPr>
              <w:t xml:space="preserve">to execute a test case for delete of &lt;</w:t>
            </w:r>
            <w:r>
              <w:t xml:space="preserve"> </w:t>
            </w:r>
            <w:r>
              <w:rPr>
                <w:i/>
                <w:iCs/>
              </w:rPr>
              <w:t xml:space="preserve">AE</w:t>
            </w:r>
            <w:r>
              <w:t xml:space="preserve"> </w:t>
            </w:r>
            <w:r>
              <w:t xml:space="preserve">_&gt;</w:t>
            </w:r>
            <w:r>
              <w:t xml:space="preserve"> </w:t>
            </w:r>
            <w:r>
              <w:rPr>
                <w:i/>
                <w:iCs/>
              </w:rPr>
              <w:t xml:space="preserve">resource</w:t>
            </w:r>
            <w:r>
              <w:t xml:space="preserve">"**, then 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4, //indicate DELETE operation</w:t>
            </w:r>
            <w:r>
              <w:br/>
            </w:r>
            <w:r>
              <w:t xml:space="preserve">“to”</w:t>
            </w:r>
            <w:r>
              <w:t xml:space="preserve">:{TARGET_AE_RESOURCE_ADDRESS},</w:t>
            </w:r>
            <w:r>
              <w:br/>
            </w:r>
            <w:r>
              <w:t xml:space="preserve">//indicate Target AE resource address</w:t>
            </w:r>
            <w:r>
              <w:t xml:space="preserve"> </w:t>
            </w:r>
            <w:r>
              <w:t xml:space="preserve">“rvi”</w:t>
            </w:r>
            <w:r>
              <w:t xml:space="preserve">:</w:t>
            </w:r>
            <w:r>
              <w:t xml:space="preserve"> </w:t>
            </w:r>
            <w:r>
              <w:t xml:space="preserve">“2a”</w:t>
            </w:r>
            <w:r>
              <w:br/>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4, //indicate DELETE peration</w:t>
            </w:r>
            <w:r>
              <w:br/>
            </w:r>
            <w:r>
              <w:t xml:space="preserve">“to”</w:t>
            </w:r>
            <w:r>
              <w:t xml:space="preserve">:{TARGET_AE_RESOURCE_ADDRESS},</w:t>
            </w:r>
            <w:r>
              <w:br/>
            </w:r>
            <w:r>
              <w:t xml:space="preserve">//indicate Target AE resource address</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p>
            <w:pPr>
              <w:pStyle w:val="Compact"/>
              <w:jc w:val="left"/>
            </w:pPr>
            <w:r>
              <w:t xml:space="preserve">N/A</w:t>
            </w:r>
          </w:p>
        </w:tc>
        <w:tc>
          <w:tcPr/>
          <w:p>
            <w:pPr>
              <w:pStyle w:val="Compact"/>
              <w:jc w:val="left"/>
            </w:pPr>
            <w:r>
              <w:t xml:space="preserve">Special upper</w:t>
            </w:r>
            <w:r>
              <w:t xml:space="preserve"> </w:t>
            </w:r>
            <w:r>
              <w:t xml:space="preserve">tester</w:t>
            </w:r>
            <w:r>
              <w:t xml:space="preserve"> </w:t>
            </w:r>
            <w:r>
              <w:t xml:space="preserve">commands</w:t>
            </w:r>
          </w:p>
        </w:tc>
        <w:tc>
          <w:tcPr/>
          <w:p>
            <w:pPr>
              <w:pStyle w:val="Compact"/>
              <w:jc w:val="left"/>
            </w:pPr>
            <w:r>
              <w:t xml:space="preserve">N/A</w:t>
            </w:r>
          </w:p>
        </w:tc>
        <w:tc>
          <w:tcPr/>
          <w:p>
            <w:pPr>
              <w:pStyle w:val="Compact"/>
              <w:jc w:val="left"/>
            </w:pPr>
            <w:r>
              <w:rPr>
                <w:b/>
                <w:bCs/>
              </w:rPr>
              <w:t xml:space="preserve">“RESET”</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w:t>
            </w:r>
            <w:r>
              <w:t xml:space="preserve">: {SUT_IP_ADDRESS:PORT}</w:t>
            </w:r>
            <w:r>
              <w:br/>
            </w:r>
            <w:r>
              <w:rPr>
                <w:b/>
                <w:bCs/>
              </w:rPr>
              <w:t xml:space="preserve">X-M2M-UTCMD: Reset</w:t>
            </w:r>
            <w:r>
              <w:br/>
            </w:r>
          </w:p>
        </w:tc>
      </w:tr>
      <w:tr>
        <w:tc>
          <w:tcPr/>
          <w:p>
            <w:pPr>
              <w:pStyle w:val="Compact"/>
              <w:jc w:val="left"/>
            </w:pPr>
            <w:r>
              <w:rPr>
                <w:i/>
                <w:iCs/>
              </w:rPr>
              <w:t xml:space="preserve">UtTrigger</w:t>
            </w:r>
            <w:r>
              <w:t xml:space="preserve"> </w:t>
            </w:r>
            <w:r>
              <w:rPr>
                <w:i/>
                <w:iCs/>
              </w:rPr>
              <w:t xml:space="preserve">Ack</w:t>
            </w:r>
            <w:r>
              <w:t xml:space="preserve"> </w:t>
            </w:r>
            <w:r>
              <w:rPr>
                <w:i/>
                <w:iCs/>
              </w:rPr>
              <w:t xml:space="preserve">Primitive</w:t>
            </w:r>
          </w:p>
        </w:tc>
        <w:tc>
          <w:tcPr/>
          <w:p>
            <w:pPr>
              <w:pStyle w:val="Compact"/>
              <w:jc w:val="left"/>
            </w:pPr>
            <w:r>
              <w:rPr>
                <w:i/>
                <w:iCs/>
              </w:rPr>
              <w:t xml:space="preserve">responsePrimitive</w:t>
            </w:r>
          </w:p>
        </w:tc>
        <w:tc>
          <w:tcPr/>
          <w:p>
            <w:pPr>
              <w:pStyle w:val="Compact"/>
              <w:jc w:val="left"/>
            </w:pPr>
            <w:r>
              <w:t xml:space="preserve">ONLY</w:t>
            </w:r>
            <w:r>
              <w:t xml:space="preserve"> </w:t>
            </w:r>
            <w:r>
              <w:t xml:space="preserve">responseStatusCode</w:t>
            </w:r>
            <w:r>
              <w:t xml:space="preserve"> </w:t>
            </w:r>
            <w:r>
              <w:t xml:space="preserve">attribute</w:t>
            </w:r>
            <w:r>
              <w:t xml:space="preserve"> </w:t>
            </w:r>
            <w:r>
              <w:t xml:space="preserve">included</w:t>
            </w:r>
            <w:r>
              <w:br/>
            </w:r>
            <w:r>
              <w:br/>
            </w:r>
            <w:r>
              <w:t xml:space="preserve">See Note 2.</w:t>
            </w:r>
          </w:p>
        </w:tc>
        <w:tc>
          <w:tcPr/>
          <w:p>
            <w:pPr>
              <w:pStyle w:val="Compact"/>
              <w:jc w:val="left"/>
            </w:pPr>
            <w:r>
              <w:t xml:space="preserve">oneM2M TS-0004</w:t>
            </w:r>
            <w:r>
              <w:t xml:space="preserve"> </w:t>
            </w:r>
            <w:r>
              <w:t xml:space="preserve">[2]</w:t>
            </w:r>
          </w:p>
        </w:tc>
        <w:tc>
          <w:tcPr/>
          <w:p>
            <w:pPr>
              <w:pStyle w:val="Compact"/>
              <w:jc w:val="left"/>
            </w:pPr>
            <w:r>
              <w:rPr>
                <w:b/>
                <w:bCs/>
              </w:rPr>
              <w:t xml:space="preserve">Response</w:t>
            </w:r>
            <w:r>
              <w:br/>
            </w:r>
            <w:r>
              <w:t xml:space="preserve">{</w:t>
            </w:r>
            <w:r>
              <w:br/>
            </w:r>
            <w:r>
              <w:t xml:space="preserve">“m2m:rsp”</w:t>
            </w:r>
            <w:r>
              <w:t xml:space="preserve">: {</w:t>
            </w:r>
            <w:r>
              <w:br/>
            </w:r>
            <w:r>
              <w:t xml:space="preserve">“rsc”</w:t>
            </w:r>
            <w:r>
              <w:t xml:space="preserve">: 2000</w:t>
            </w:r>
            <w:r>
              <w:br/>
            </w:r>
            <w:r>
              <w:t xml:space="preserve">}</w:t>
            </w:r>
            <w:r>
              <w:br/>
            </w:r>
            <w:r>
              <w:t xml:space="preserve">}</w:t>
            </w:r>
            <w:r>
              <w:br/>
            </w:r>
            <w:r>
              <w:br/>
            </w:r>
            <w:r>
              <w:t xml:space="preserve">For any triggering response, it only</w:t>
            </w:r>
            <w:r>
              <w:t xml:space="preserve"> </w:t>
            </w:r>
            <w:r>
              <w:t xml:space="preserve">contains aresponse status code, and the</w:t>
            </w:r>
            <w:r>
              <w:t xml:space="preserve"> </w:t>
            </w:r>
            <w:r>
              <w:t xml:space="preserve">response status code for the triggering</w:t>
            </w:r>
            <w:r>
              <w:t xml:space="preserve"> </w:t>
            </w:r>
            <w:r>
              <w:t xml:space="preserve">operation can only be set to either</w:t>
            </w:r>
            <w:r>
              <w:t xml:space="preserve"> </w:t>
            </w:r>
            <w:r>
              <w:t xml:space="preserve">either 2000 (OK) or 4000 (BAD_REQUEST)</w:t>
            </w:r>
            <w:r>
              <w:t xml:space="preserve"> </w:t>
            </w:r>
            <w:r>
              <w:t xml:space="preserve">according to the rules for triggering</w:t>
            </w:r>
            <w:r>
              <w:t xml:space="preserve"> </w:t>
            </w:r>
            <w:r>
              <w:t xml:space="preserve">operations.</w:t>
            </w:r>
          </w:p>
        </w:tc>
        <w:tc>
          <w:tcPr/>
          <w:p>
            <w:pPr>
              <w:pStyle w:val="Compact"/>
              <w:jc w:val="left"/>
            </w:pPr>
            <w:r>
              <w:rPr>
                <w:b/>
                <w:bCs/>
              </w:rPr>
              <w:t xml:space="preserve">Response</w:t>
            </w:r>
            <w:r>
              <w:br/>
            </w:r>
            <w:r>
              <w:t xml:space="preserve">HTTP/1.1 200 OK</w:t>
            </w:r>
            <w:r>
              <w:br/>
            </w:r>
            <w:r>
              <w:t xml:space="preserve">X-M2M-RSC: 2000</w:t>
            </w:r>
            <w:r>
              <w:br/>
            </w:r>
          </w:p>
        </w:tc>
      </w:tr>
      <w:tr>
        <w:tc>
          <w:tcPr>
            <w:gridSpan w:val="6"/>
          </w:tcPr>
          <w:p>
            <w:pPr>
              <w:pStyle w:val="Compact"/>
              <w:jc w:val="left"/>
            </w:pPr>
            <w:r>
              <w:t xml:space="preserve">NOTE 1: Additional rules defined in table 5.4.4.2.2-3 are also applied.</w:t>
            </w:r>
            <w:r>
              <w:br/>
            </w:r>
            <w:r>
              <w:t xml:space="preserve">NOTE 2: Attribute response status code is defined at table 5.4.4.2.2-3.</w:t>
            </w:r>
          </w:p>
        </w:tc>
      </w:tr>
    </w:tbl>
    <w:p>
      <w:pPr>
        <w:pStyle w:val="BodyText"/>
      </w:pPr>
      <w:r>
        <w:t xml:space="preserve">The rules for defining UtTrigger and UtTriggerAck primitives are:</w:t>
      </w:r>
    </w:p>
    <w:p>
      <w:pPr>
        <w:numPr>
          <w:ilvl w:val="0"/>
          <w:numId w:val="1017"/>
        </w:numPr>
      </w:pPr>
      <w:r>
        <w:t xml:space="preserve">UtTrigger primitive is represented in requestPrimitive serialized in JSON format.</w:t>
      </w:r>
    </w:p>
    <w:p>
      <w:pPr>
        <w:numPr>
          <w:ilvl w:val="0"/>
          <w:numId w:val="1017"/>
        </w:numPr>
      </w:pPr>
      <w:r>
        <w:t xml:space="preserve">UtTrigger primitive shall be interpreted as follows:</w:t>
      </w:r>
    </w:p>
    <w:p>
      <w:pPr>
        <w:pStyle w:val="Compact"/>
        <w:numPr>
          <w:ilvl w:val="1"/>
          <w:numId w:val="1018"/>
        </w:numPr>
      </w:pPr>
      <w:r>
        <w:t xml:space="preserve">Any attribute/parameter containing a value shall be present and equal in the triggered request primitive.</w:t>
      </w:r>
    </w:p>
    <w:p>
      <w:pPr>
        <w:pStyle w:val="Compact"/>
        <w:numPr>
          <w:ilvl w:val="1"/>
          <w:numId w:val="1018"/>
        </w:numPr>
      </w:pPr>
      <w:r>
        <w:t xml:space="preserve">Any attribute/parameter containing</w:t>
      </w:r>
      <w:r>
        <w:t xml:space="preserve"> </w:t>
      </w:r>
      <w:r>
        <w:t xml:space="preserve">“UNINITIALIZED”</w:t>
      </w:r>
      <w:r>
        <w:t xml:space="preserve"> </w:t>
      </w:r>
      <w:r>
        <w:t xml:space="preserve">value shall be present in the triggered request primitive.</w:t>
      </w:r>
    </w:p>
    <w:p>
      <w:pPr>
        <w:pStyle w:val="Compact"/>
        <w:numPr>
          <w:ilvl w:val="1"/>
          <w:numId w:val="1018"/>
        </w:numPr>
      </w:pPr>
      <w:r>
        <w:t xml:space="preserve">Any other attribute/parameter shall comply with oneM2M TS-0004</w:t>
      </w:r>
      <w:r>
        <w:t xml:space="preserve"> </w:t>
      </w:r>
      <w:r>
        <w:t xml:space="preserve">[2]</w:t>
      </w:r>
      <w:r>
        <w:t xml:space="preserve">.</w:t>
      </w:r>
    </w:p>
    <w:p>
      <w:pPr>
        <w:numPr>
          <w:ilvl w:val="0"/>
          <w:numId w:val="1017"/>
        </w:numPr>
      </w:pPr>
      <w:r>
        <w:t xml:space="preserve">Parameters within UtTrigger are listed as following:</w:t>
      </w:r>
    </w:p>
    <w:p>
      <w:pPr>
        <w:pStyle w:val="Compact"/>
        <w:numPr>
          <w:ilvl w:val="1"/>
          <w:numId w:val="1019"/>
        </w:numPr>
      </w:pPr>
      <w:r>
        <w:t xml:space="preserve">operation: (mandatory) operation type that IUT is triggered to perform.</w:t>
      </w:r>
    </w:p>
    <w:p>
      <w:pPr>
        <w:pStyle w:val="Compact"/>
        <w:numPr>
          <w:ilvl w:val="1"/>
          <w:numId w:val="1019"/>
        </w:numPr>
      </w:pPr>
      <w:r>
        <w:t xml:space="preserve">resourceType: (optional) resource type of a target resource against which IUT is triggered to perform certain operation</w:t>
      </w:r>
    </w:p>
    <w:p>
      <w:pPr>
        <w:pStyle w:val="Compact"/>
        <w:numPr>
          <w:ilvl w:val="1"/>
          <w:numId w:val="1019"/>
        </w:numPr>
      </w:pPr>
      <w:r>
        <w:t xml:space="preserve">to: (mandatory) target resource against which IUT is triggered to perform certain operation.</w:t>
      </w:r>
    </w:p>
    <w:p>
      <w:pPr>
        <w:pStyle w:val="Compact"/>
        <w:numPr>
          <w:ilvl w:val="1"/>
          <w:numId w:val="1019"/>
        </w:numPr>
      </w:pPr>
      <w:r>
        <w:t xml:space="preserve">primitiveContent: (optional) represents the resource attributes that shall be included in the requestPrimitive.</w:t>
      </w:r>
    </w:p>
    <w:p>
      <w:pPr>
        <w:pStyle w:val="TableCaption"/>
      </w:pPr>
      <w:r>
        <w:t xml:space="preserve">Table 5.4.2.2.2-3: Definition of ResponseStatusCode for UtTriggerAck primitive</w:t>
      </w:r>
    </w:p>
    <w:tbl>
      <w:tblPr>
        <w:tblStyle w:val="Table"/>
        <w:tblW w:type="pct" w:w="4947"/>
        <w:tblLayout w:type="fixed"/>
        <w:tblLook w:firstRow="1" w:lastRow="0" w:firstColumn="0" w:lastColumn="0" w:noHBand="0" w:noVBand="0" w:val="0020"/>
        <w:tblCaption w:val="Table 5.4.2.2.2-3: Definition of ResponseStatusCode for UtTriggerAck primitive"/>
      </w:tblPr>
      <w:tblGrid>
        <w:gridCol w:w="2084"/>
        <w:gridCol w:w="1500"/>
        <w:gridCol w:w="4251"/>
      </w:tblGrid>
      <w:tr>
        <w:trPr>
          <w:tblHeader w:val="on"/>
        </w:trPr>
        <w:tc>
          <w:tcPr/>
          <w:p>
            <w:pPr>
              <w:pStyle w:val="Compact"/>
              <w:jc w:val="left"/>
            </w:pPr>
            <w:r>
              <w:t xml:space="preserve">Response Status</w:t>
            </w:r>
            <w:r>
              <w:t xml:space="preserve"> </w:t>
            </w:r>
            <w:r>
              <w:t xml:space="preserve">Code Description</w:t>
            </w:r>
          </w:p>
        </w:tc>
        <w:tc>
          <w:tcPr/>
          <w:p>
            <w:pPr>
              <w:pStyle w:val="Compact"/>
              <w:jc w:val="left"/>
            </w:pPr>
            <w:r>
              <w:t xml:space="preserve">Response Status</w:t>
            </w:r>
            <w:r>
              <w:t xml:space="preserve"> </w:t>
            </w:r>
            <w:r>
              <w:t xml:space="preserve">Code Value</w:t>
            </w:r>
          </w:p>
        </w:tc>
        <w:tc>
          <w:tcPr/>
          <w:p>
            <w:pPr>
              <w:pStyle w:val="Compact"/>
              <w:jc w:val="left"/>
            </w:pPr>
            <w:r>
              <w:t xml:space="preserve">Interpretation</w:t>
            </w:r>
          </w:p>
        </w:tc>
      </w:tr>
      <w:tr>
        <w:tc>
          <w:tcPr/>
          <w:p>
            <w:pPr>
              <w:pStyle w:val="Compact"/>
              <w:jc w:val="left"/>
            </w:pPr>
            <w:r>
              <w:t xml:space="preserve">OK</w:t>
            </w:r>
          </w:p>
        </w:tc>
        <w:tc>
          <w:tcPr/>
          <w:p>
            <w:pPr>
              <w:pStyle w:val="Compact"/>
              <w:jc w:val="left"/>
            </w:pPr>
            <w:r>
              <w:t xml:space="preserve">2000</w:t>
            </w:r>
          </w:p>
        </w:tc>
        <w:tc>
          <w:tcPr/>
          <w:p>
            <w:pPr>
              <w:pStyle w:val="Compact"/>
              <w:jc w:val="left"/>
            </w:pPr>
            <w:r>
              <w:t xml:space="preserve">The SUT receives successfully the triggering</w:t>
            </w:r>
            <w:r>
              <w:t xml:space="preserve"> </w:t>
            </w:r>
            <w:r>
              <w:t xml:space="preserve">message from Test System</w:t>
            </w:r>
          </w:p>
        </w:tc>
      </w:tr>
      <w:tr>
        <w:tc>
          <w:tcPr/>
          <w:p>
            <w:pPr>
              <w:pStyle w:val="Compact"/>
              <w:jc w:val="left"/>
            </w:pPr>
            <w:r>
              <w:t xml:space="preserve">BAD_REQUEST</w:t>
            </w:r>
          </w:p>
        </w:tc>
        <w:tc>
          <w:tcPr/>
          <w:p>
            <w:pPr>
              <w:pStyle w:val="Compact"/>
              <w:jc w:val="left"/>
            </w:pPr>
            <w:r>
              <w:t xml:space="preserve">4000</w:t>
            </w:r>
          </w:p>
        </w:tc>
        <w:tc>
          <w:tcPr/>
          <w:p>
            <w:pPr>
              <w:pStyle w:val="Compact"/>
              <w:jc w:val="left"/>
            </w:pPr>
            <w:r>
              <w:t xml:space="preserve">The SUT does not interpret correctly the UtTrigger</w:t>
            </w:r>
            <w:r>
              <w:t xml:space="preserve"> </w:t>
            </w:r>
            <w:r>
              <w:t xml:space="preserve">primitive</w:t>
            </w:r>
          </w:p>
        </w:tc>
      </w:tr>
      <w:tr>
        <w:tc>
          <w:tcPr>
            <w:gridSpan w:val="3"/>
          </w:tcPr>
          <w:p>
            <w:pPr>
              <w:pStyle w:val="Compact"/>
              <w:jc w:val="left"/>
            </w:pPr>
            <w:r>
              <w:t xml:space="preserve">NOTE: Only above two response status codes are allowed to use in UtTriggerAck primitive.</w:t>
            </w:r>
          </w:p>
        </w:tc>
      </w:tr>
    </w:tbl>
    <w:bookmarkEnd w:id="61"/>
    <w:bookmarkStart w:id="62" w:name="control-communication-protocol"/>
    <w:p>
      <w:pPr>
        <w:pStyle w:val="Heading5"/>
      </w:pPr>
      <w:r>
        <w:t xml:space="preserve">5.4.2.2.3 Control Communication Protocol</w:t>
      </w:r>
    </w:p>
    <w:p>
      <w:pPr>
        <w:pStyle w:val="FirstParagraph"/>
      </w:pPr>
      <w:r>
        <w:t xml:space="preserve">Protocol used for proceeding communications between Test System and Upper Tester Application is designated to the Hypertext Transfer Protocol (HTTP) protocol owning it is an application protocol that is widely supported and various intrinsic features such as persistent connection, ease of programming, flexibility, etc.</w:t>
      </w:r>
    </w:p>
    <w:bookmarkEnd w:id="62"/>
    <w:bookmarkStart w:id="63" w:name="control-message-serialization"/>
    <w:p>
      <w:pPr>
        <w:pStyle w:val="Heading5"/>
      </w:pPr>
      <w:r>
        <w:t xml:space="preserve">5.4.2.2.4 Control Message Serialization</w:t>
      </w:r>
    </w:p>
    <w:p>
      <w:pPr>
        <w:pStyle w:val="FirstParagraph"/>
      </w:pPr>
      <w:r>
        <w:t xml:space="preserve">Control commands that are wrapped within a request body of HTTP message shall be serialized into JavaScript Object Notation (JSON) because it is very lightweight and easy to parse and generate for machines.</w:t>
      </w:r>
    </w:p>
    <w:bookmarkEnd w:id="63"/>
    <w:bookmarkEnd w:id="64"/>
    <w:bookmarkEnd w:id="65"/>
    <w:bookmarkStart w:id="66" w:name="acport"/>
    <w:p>
      <w:pPr>
        <w:pStyle w:val="Heading3"/>
      </w:pPr>
      <w:r>
        <w:t xml:space="preserve">5.4.3 acPort</w:t>
      </w:r>
    </w:p>
    <w:p>
      <w:pPr>
        <w:pStyle w:val="FirstParagraph"/>
      </w:pPr>
      <w:r>
        <w:t xml:space="preserve">The acPort is included in the oneM2M ATS in order to be able to control and configure the test adaptor for specific cases.</w:t>
      </w:r>
    </w:p>
    <w:bookmarkEnd w:id="66"/>
    <w:bookmarkStart w:id="67" w:name="infoport"/>
    <w:p>
      <w:pPr>
        <w:pStyle w:val="Heading3"/>
      </w:pPr>
      <w:r>
        <w:t xml:space="preserve">5.4.4 infoPort</w:t>
      </w:r>
    </w:p>
    <w:p>
      <w:pPr>
        <w:pStyle w:val="FirstParagraph"/>
      </w:pPr>
      <w:r>
        <w:t xml:space="preserve">The infoPort is included in the oneM2M ATS in order for the TTCN-3 test components to be able to exchange information such as last response primitives or request primitives received by a component, retrieved primitive contents.</w:t>
      </w:r>
    </w:p>
    <w:bookmarkEnd w:id="67"/>
    <w:bookmarkEnd w:id="68"/>
    <w:bookmarkStart w:id="72" w:name="test-components"/>
    <w:p>
      <w:pPr>
        <w:pStyle w:val="Heading2"/>
      </w:pPr>
      <w:r>
        <w:t xml:space="preserve">5.5 Test components</w:t>
      </w:r>
    </w:p>
    <w:bookmarkStart w:id="69" w:name="tester"/>
    <w:p>
      <w:pPr>
        <w:pStyle w:val="Heading3"/>
      </w:pPr>
      <w:r>
        <w:t xml:space="preserve">5.5.1 Tester</w:t>
      </w:r>
    </w:p>
    <w:p>
      <w:pPr>
        <w:pStyle w:val="FirstParagraph"/>
      </w:pPr>
      <w:r>
        <w:t xml:space="preserve">The Tester test component includes a set of ports, timers and variables that are common to the other defined components which are described in table 5.5.1-1.</w:t>
      </w:r>
    </w:p>
    <w:p>
      <w:pPr>
        <w:pStyle w:val="TableCaption"/>
      </w:pPr>
      <w:r>
        <w:t xml:space="preserve">Table 5.5.1-1: Tester component elements</w:t>
      </w:r>
    </w:p>
    <w:tbl>
      <w:tblPr>
        <w:tblStyle w:val="Table"/>
        <w:tblW w:type="pct" w:w="4917"/>
        <w:tblLayout w:type="fixed"/>
        <w:tblLook w:firstRow="1" w:lastRow="0" w:firstColumn="0" w:lastColumn="0" w:noHBand="0" w:noVBand="0" w:val="0020"/>
        <w:tblCaption w:val="Table 5.5.1-1: Tester component elements"/>
      </w:tblPr>
      <w:tblGrid>
        <w:gridCol w:w="2772"/>
        <w:gridCol w:w="990"/>
        <w:gridCol w:w="1320"/>
        <w:gridCol w:w="2706"/>
      </w:tblGrid>
      <w:tr>
        <w:trPr>
          <w:tblHeader w:val="on"/>
        </w:trPr>
        <w:tc>
          <w:tcPr/>
          <w:p>
            <w:pPr>
              <w:pStyle w:val="Compact"/>
              <w:jc w:val="left"/>
            </w:pPr>
            <w:r>
              <w:t xml:space="preserve">Name</w:t>
            </w:r>
          </w:p>
        </w:tc>
        <w:tc>
          <w:tcPr/>
          <w:p>
            <w:pPr>
              <w:pStyle w:val="Compact"/>
              <w:jc w:val="left"/>
            </w:pPr>
            <w:r>
              <w:t xml:space="preserve">Instance type</w:t>
            </w:r>
          </w:p>
        </w:tc>
        <w:tc>
          <w:tcPr/>
          <w:p>
            <w:pPr>
              <w:pStyle w:val="Compact"/>
              <w:jc w:val="left"/>
            </w:pPr>
            <w:r>
              <w:t xml:space="preserve">Element type</w:t>
            </w:r>
          </w:p>
        </w:tc>
        <w:tc>
          <w:tcPr/>
          <w:p>
            <w:pPr>
              <w:pStyle w:val="Compact"/>
              <w:jc w:val="left"/>
            </w:pPr>
            <w:r>
              <w:t xml:space="preserve">Description</w:t>
            </w:r>
          </w:p>
        </w:tc>
      </w:tr>
      <w:tr>
        <w:tc>
          <w:tcPr/>
          <w:p>
            <w:pPr>
              <w:pStyle w:val="Compact"/>
              <w:jc w:val="left"/>
            </w:pPr>
            <w:r>
              <w:t xml:space="preserve">acPort</w:t>
            </w:r>
          </w:p>
        </w:tc>
        <w:tc>
          <w:tcPr/>
          <w:p>
            <w:pPr>
              <w:pStyle w:val="Compact"/>
              <w:jc w:val="left"/>
            </w:pPr>
            <w:r>
              <w:t xml:space="preserve">port</w:t>
            </w:r>
          </w:p>
        </w:tc>
        <w:tc>
          <w:tcPr/>
          <w:p>
            <w:pPr>
              <w:pStyle w:val="Compact"/>
              <w:jc w:val="left"/>
            </w:pPr>
            <w:r>
              <w:t xml:space="preserve">AdapterControlPort</w:t>
            </w:r>
          </w:p>
        </w:tc>
        <w:tc>
          <w:tcPr/>
          <w:p>
            <w:pPr>
              <w:pStyle w:val="Compact"/>
              <w:jc w:val="left"/>
            </w:pPr>
            <w:r>
              <w:t xml:space="preserve">Port that communicates with the adapter</w:t>
            </w:r>
            <w:r>
              <w:t xml:space="preserve"> </w:t>
            </w:r>
            <w:r>
              <w:t xml:space="preserve">for sending configuration parameters</w:t>
            </w:r>
          </w:p>
        </w:tc>
      </w:tr>
      <w:tr>
        <w:tc>
          <w:tcPr/>
          <w:p>
            <w:pPr>
              <w:pStyle w:val="Compact"/>
              <w:jc w:val="left"/>
            </w:pPr>
            <w:r>
              <w:t xml:space="preserve">infoPort</w:t>
            </w:r>
          </w:p>
        </w:tc>
        <w:tc>
          <w:tcPr/>
          <w:p>
            <w:pPr>
              <w:pStyle w:val="Compact"/>
              <w:jc w:val="left"/>
            </w:pPr>
            <w:r>
              <w:t xml:space="preserve">port</w:t>
            </w:r>
          </w:p>
        </w:tc>
        <w:tc>
          <w:tcPr/>
          <w:p>
            <w:pPr>
              <w:pStyle w:val="Compact"/>
              <w:jc w:val="left"/>
            </w:pPr>
            <w:r>
              <w:t xml:space="preserve">InfoPort</w:t>
            </w:r>
          </w:p>
        </w:tc>
        <w:tc>
          <w:tcPr/>
          <w:p>
            <w:pPr>
              <w:pStyle w:val="Compact"/>
              <w:jc w:val="left"/>
            </w:pPr>
            <w:r>
              <w:t xml:space="preserve">Port between test components for</w:t>
            </w:r>
            <w:r>
              <w:t xml:space="preserve"> </w:t>
            </w:r>
            <w:r>
              <w:t xml:space="preserve">exchanging information</w:t>
            </w:r>
          </w:p>
        </w:tc>
      </w:tr>
      <w:tr>
        <w:tc>
          <w:tcPr/>
          <w:p>
            <w:pPr>
              <w:pStyle w:val="Compact"/>
              <w:jc w:val="left"/>
            </w:pPr>
            <w:r>
              <w:t xml:space="preserve">utPort</w:t>
            </w:r>
          </w:p>
        </w:tc>
        <w:tc>
          <w:tcPr/>
          <w:p>
            <w:pPr>
              <w:pStyle w:val="Compact"/>
              <w:jc w:val="left"/>
            </w:pPr>
            <w:r>
              <w:t xml:space="preserve">port</w:t>
            </w:r>
          </w:p>
        </w:tc>
        <w:tc>
          <w:tcPr/>
          <w:p>
            <w:pPr>
              <w:pStyle w:val="Compact"/>
              <w:jc w:val="left"/>
            </w:pPr>
            <w:r>
              <w:t xml:space="preserve">UpperTesterPort</w:t>
            </w:r>
          </w:p>
        </w:tc>
        <w:tc>
          <w:tcPr/>
          <w:p>
            <w:pPr>
              <w:pStyle w:val="Compact"/>
              <w:jc w:val="left"/>
            </w:pPr>
            <w:r>
              <w:t xml:space="preserve">Port that communicates with the UT</w:t>
            </w:r>
            <w:r>
              <w:t xml:space="preserve"> </w:t>
            </w:r>
            <w:r>
              <w:t xml:space="preserve">Application for triggering actions on</w:t>
            </w:r>
            <w:r>
              <w:t xml:space="preserve"> </w:t>
            </w:r>
            <w:r>
              <w:t xml:space="preserve">the IUT</w:t>
            </w:r>
          </w:p>
        </w:tc>
      </w:tr>
      <w:tr>
        <w:tc>
          <w:tcPr/>
          <w:p>
            <w:pPr>
              <w:pStyle w:val="Compact"/>
              <w:jc w:val="left"/>
            </w:pPr>
            <w:r>
              <w:t xml:space="preserve">tc_ac</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reception of a message</w:t>
            </w:r>
          </w:p>
        </w:tc>
      </w:tr>
      <w:tr>
        <w:tc>
          <w:tcPr/>
          <w:p>
            <w:pPr>
              <w:pStyle w:val="Compact"/>
              <w:jc w:val="left"/>
            </w:pPr>
            <w:r>
              <w:t xml:space="preserve">tc_wait</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reaction of the IUT to an</w:t>
            </w:r>
            <w:r>
              <w:t xml:space="preserve"> </w:t>
            </w:r>
            <w:r>
              <w:t xml:space="preserve">upper tester primitive</w:t>
            </w:r>
          </w:p>
        </w:tc>
      </w:tr>
      <w:tr>
        <w:tc>
          <w:tcPr/>
          <w:p>
            <w:pPr>
              <w:pStyle w:val="Compact"/>
              <w:jc w:val="left"/>
            </w:pPr>
            <w:r>
              <w:t xml:space="preserve">tc_done</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waiting completion of a</w:t>
            </w:r>
            <w:r>
              <w:t xml:space="preserve"> </w:t>
            </w:r>
            <w:r>
              <w:t xml:space="preserve">component behaviour</w:t>
            </w:r>
          </w:p>
        </w:tc>
      </w:tr>
      <w:tr>
        <w:tc>
          <w:tcPr/>
          <w:p>
            <w:pPr>
              <w:pStyle w:val="Compact"/>
              <w:jc w:val="left"/>
            </w:pPr>
            <w:r>
              <w:t xml:space="preserve">vc_config</w:t>
            </w:r>
          </w:p>
        </w:tc>
        <w:tc>
          <w:tcPr/>
          <w:p>
            <w:pPr>
              <w:pStyle w:val="Compact"/>
              <w:jc w:val="left"/>
            </w:pPr>
            <w:r>
              <w:t xml:space="preserve">variable</w:t>
            </w:r>
          </w:p>
        </w:tc>
        <w:tc>
          <w:tcPr/>
          <w:p>
            <w:pPr>
              <w:pStyle w:val="Compact"/>
              <w:jc w:val="left"/>
            </w:pPr>
            <w:r>
              <w:t xml:space="preserve">Configurations</w:t>
            </w:r>
          </w:p>
        </w:tc>
        <w:tc>
          <w:tcPr/>
          <w:p>
            <w:pPr>
              <w:pStyle w:val="Compact"/>
              <w:jc w:val="left"/>
            </w:pPr>
            <w:r>
              <w:t xml:space="preserve">Configuration being used for the given</w:t>
            </w:r>
            <w:r>
              <w:t xml:space="preserve"> </w:t>
            </w:r>
            <w:r>
              <w:t xml:space="preserve">test case |</w:t>
            </w:r>
          </w:p>
        </w:tc>
      </w:tr>
      <w:tr>
        <w:tc>
          <w:tcPr/>
          <w:p>
            <w:pPr>
              <w:pStyle w:val="Compact"/>
              <w:jc w:val="left"/>
            </w:pPr>
            <w:r>
              <w:t xml:space="preserve">vc_testSystemRole</w:t>
            </w:r>
          </w:p>
        </w:tc>
        <w:tc>
          <w:tcPr/>
          <w:p>
            <w:pPr>
              <w:pStyle w:val="Compact"/>
              <w:jc w:val="left"/>
            </w:pPr>
            <w:r>
              <w:t xml:space="preserve">variable</w:t>
            </w:r>
          </w:p>
        </w:tc>
        <w:tc>
          <w:tcPr/>
          <w:p>
            <w:pPr>
              <w:pStyle w:val="Compact"/>
              <w:jc w:val="left"/>
            </w:pPr>
            <w:r>
              <w:t xml:space="preserve">TestSystemRole</w:t>
            </w:r>
          </w:p>
        </w:tc>
        <w:tc>
          <w:tcPr/>
          <w:p>
            <w:pPr>
              <w:pStyle w:val="Compact"/>
              <w:jc w:val="left"/>
            </w:pPr>
            <w:r>
              <w:t xml:space="preserve">Role of the test component</w:t>
            </w:r>
          </w:p>
        </w:tc>
      </w:tr>
      <w:tr>
        <w:tc>
          <w:tcPr/>
          <w:p>
            <w:pPr>
              <w:pStyle w:val="Compact"/>
              <w:jc w:val="left"/>
            </w:pPr>
            <w:r>
              <w:t xml:space="preserve">vc_componentRegistered</w:t>
            </w:r>
          </w:p>
        </w:tc>
        <w:tc>
          <w:tcPr/>
          <w:p>
            <w:pPr>
              <w:pStyle w:val="Compact"/>
              <w:jc w:val="left"/>
            </w:pPr>
            <w:r>
              <w:t xml:space="preserve">variable</w:t>
            </w:r>
          </w:p>
        </w:tc>
        <w:tc>
          <w:tcPr/>
          <w:p>
            <w:pPr>
              <w:pStyle w:val="Compact"/>
              <w:jc w:val="left"/>
            </w:pPr>
            <w:r>
              <w:t xml:space="preserve">boolean</w:t>
            </w:r>
          </w:p>
        </w:tc>
        <w:tc>
          <w:tcPr/>
          <w:p>
            <w:pPr>
              <w:pStyle w:val="Compact"/>
              <w:jc w:val="left"/>
            </w:pPr>
            <w:r>
              <w:t xml:space="preserve">Flag to indicate when a component has</w:t>
            </w:r>
            <w:r>
              <w:t xml:space="preserve"> </w:t>
            </w:r>
            <w:r>
              <w:t xml:space="preserve">registered to the IUT</w:t>
            </w:r>
          </w:p>
        </w:tc>
      </w:tr>
      <w:tr>
        <w:tc>
          <w:tcPr/>
          <w:p>
            <w:pPr>
              <w:pStyle w:val="Compact"/>
              <w:jc w:val="left"/>
            </w:pPr>
            <w:r>
              <w:t xml:space="preserve">vc_resourcesList</w:t>
            </w:r>
          </w:p>
        </w:tc>
        <w:tc>
          <w:tcPr/>
          <w:p>
            <w:pPr>
              <w:pStyle w:val="Compact"/>
              <w:jc w:val="left"/>
            </w:pPr>
            <w:r>
              <w:t xml:space="preserve">variable</w:t>
            </w:r>
          </w:p>
        </w:tc>
        <w:tc>
          <w:tcPr/>
          <w:p>
            <w:pPr>
              <w:pStyle w:val="Compact"/>
              <w:jc w:val="left"/>
            </w:pPr>
            <w:r>
              <w:t xml:space="preserve">MyResourcesList</w:t>
            </w:r>
          </w:p>
        </w:tc>
        <w:tc>
          <w:tcPr/>
          <w:p>
            <w:pPr>
              <w:pStyle w:val="Compact"/>
              <w:jc w:val="left"/>
            </w:pPr>
            <w:r>
              <w:t xml:space="preserve">List of all resources created by the</w:t>
            </w:r>
            <w:r>
              <w:t xml:space="preserve"> </w:t>
            </w:r>
            <w:r>
              <w:t xml:space="preserve">test system on the IUT</w:t>
            </w:r>
          </w:p>
        </w:tc>
      </w:tr>
      <w:tr>
        <w:tc>
          <w:tcPr/>
          <w:p>
            <w:pPr>
              <w:pStyle w:val="Compact"/>
              <w:jc w:val="left"/>
            </w:pPr>
            <w:r>
              <w:t xml:space="preserve">vc_resourcesIndexToBeDeleted</w:t>
            </w:r>
          </w:p>
        </w:tc>
        <w:tc>
          <w:tcPr/>
          <w:p>
            <w:pPr>
              <w:pStyle w:val="Compact"/>
              <w:jc w:val="left"/>
            </w:pPr>
            <w:r>
              <w:t xml:space="preserve">variable</w:t>
            </w:r>
          </w:p>
        </w:tc>
        <w:tc>
          <w:tcPr/>
          <w:p>
            <w:pPr>
              <w:pStyle w:val="Compact"/>
              <w:jc w:val="left"/>
            </w:pPr>
            <w:r>
              <w:t xml:space="preserve">IntegerList</w:t>
            </w:r>
          </w:p>
        </w:tc>
        <w:tc>
          <w:tcPr/>
          <w:p>
            <w:pPr>
              <w:pStyle w:val="Compact"/>
              <w:jc w:val="left"/>
            </w:pPr>
            <w:r>
              <w:t xml:space="preserve">List of indexes of resources created by</w:t>
            </w:r>
            <w:r>
              <w:t xml:space="preserve"> </w:t>
            </w:r>
            <w:r>
              <w:t xml:space="preserve">the test system on the IUT that need to</w:t>
            </w:r>
            <w:r>
              <w:t xml:space="preserve"> </w:t>
            </w:r>
            <w:r>
              <w:t xml:space="preserve">be deleted</w:t>
            </w:r>
          </w:p>
        </w:tc>
      </w:tr>
      <w:tr>
        <w:tc>
          <w:tcPr/>
          <w:p>
            <w:pPr>
              <w:pStyle w:val="Compact"/>
              <w:jc w:val="left"/>
            </w:pPr>
            <w:r>
              <w:t xml:space="preserve">vc_acpIndex</w:t>
            </w:r>
          </w:p>
        </w:tc>
        <w:tc>
          <w:tcPr/>
          <w:p>
            <w:pPr>
              <w:pStyle w:val="Compact"/>
              <w:jc w:val="left"/>
            </w:pPr>
            <w:r>
              <w:t xml:space="preserve">variable</w:t>
            </w:r>
          </w:p>
        </w:tc>
        <w:tc>
          <w:tcPr/>
          <w:p>
            <w:pPr>
              <w:pStyle w:val="Compact"/>
              <w:jc w:val="left"/>
            </w:pPr>
            <w:r>
              <w:t xml:space="preserve">integer</w:t>
            </w:r>
          </w:p>
        </w:tc>
        <w:tc>
          <w:tcPr/>
          <w:p>
            <w:pPr>
              <w:pStyle w:val="Compact"/>
              <w:jc w:val="left"/>
            </w:pPr>
            <w:r>
              <w:t xml:space="preserve">Index of accessControlPolicy resource</w:t>
            </w:r>
            <w:r>
              <w:t xml:space="preserve"> </w:t>
            </w:r>
            <w:r>
              <w:t xml:space="preserve">used by the test system by default</w:t>
            </w:r>
            <w:r>
              <w:t xml:space="preserve"> </w:t>
            </w:r>
            <w:r>
              <w:t xml:space="preserve">(when required)</w:t>
            </w:r>
          </w:p>
        </w:tc>
      </w:tr>
      <w:tr>
        <w:tc>
          <w:tcPr/>
          <w:p>
            <w:pPr>
              <w:pStyle w:val="Compact"/>
              <w:jc w:val="left"/>
            </w:pPr>
            <w:r>
              <w:t xml:space="preserve">vc_request</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request primitive received/sent</w:t>
            </w:r>
          </w:p>
        </w:tc>
      </w:tr>
      <w:tr>
        <w:tc>
          <w:tcPr/>
          <w:p>
            <w:pPr>
              <w:pStyle w:val="Compact"/>
              <w:jc w:val="left"/>
            </w:pPr>
            <w:r>
              <w:t xml:space="preserve">vc_response</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response primitive received/sent</w:t>
            </w:r>
          </w:p>
        </w:tc>
      </w:tr>
      <w:tr>
        <w:tc>
          <w:tcPr/>
          <w:p>
            <w:pPr>
              <w:pStyle w:val="Compact"/>
              <w:jc w:val="left"/>
            </w:pPr>
            <w:r>
              <w:t xml:space="preserve">vc_aeSimu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AeSimu component</w:t>
            </w:r>
          </w:p>
        </w:tc>
      </w:tr>
      <w:tr>
        <w:tc>
          <w:tcPr/>
          <w:p>
            <w:pPr>
              <w:pStyle w:val="Compact"/>
              <w:jc w:val="left"/>
            </w:pPr>
            <w:r>
              <w:t xml:space="preserve">vc_cseSimu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CseSimu component</w:t>
            </w:r>
          </w:p>
        </w:tc>
      </w:tr>
      <w:tr>
        <w:tc>
          <w:tcPr/>
          <w:p>
            <w:pPr>
              <w:pStyle w:val="Compact"/>
              <w:jc w:val="left"/>
            </w:pPr>
            <w:r>
              <w:t xml:space="preserve">vc_primitiveContentRetrievedResource</w:t>
            </w:r>
          </w:p>
        </w:tc>
        <w:tc>
          <w:tcPr/>
          <w:p>
            <w:pPr>
              <w:pStyle w:val="Compact"/>
              <w:jc w:val="left"/>
            </w:pPr>
            <w:r>
              <w:t xml:space="preserve">variable</w:t>
            </w:r>
          </w:p>
        </w:tc>
        <w:tc>
          <w:tcPr/>
          <w:p>
            <w:pPr>
              <w:pStyle w:val="Compact"/>
              <w:jc w:val="left"/>
            </w:pPr>
            <w:r>
              <w:t xml:space="preserve">PrimitiveContent</w:t>
            </w:r>
          </w:p>
        </w:tc>
        <w:tc>
          <w:tcPr/>
          <w:p>
            <w:pPr>
              <w:pStyle w:val="Compact"/>
              <w:jc w:val="left"/>
            </w:pPr>
            <w:r>
              <w:t xml:space="preserve">Latest content of a RETRIEVE operation</w:t>
            </w:r>
          </w:p>
        </w:tc>
      </w:tr>
      <w:tr>
        <w:tc>
          <w:tcPr/>
          <w:p>
            <w:pPr>
              <w:pStyle w:val="Compact"/>
              <w:jc w:val="left"/>
            </w:pPr>
            <w:r>
              <w:t xml:space="preserve">vc_myInterfaces</w:t>
            </w:r>
          </w:p>
        </w:tc>
        <w:tc>
          <w:tcPr/>
          <w:p>
            <w:pPr>
              <w:pStyle w:val="Compact"/>
              <w:jc w:val="left"/>
            </w:pPr>
            <w:r>
              <w:t xml:space="preserve">variable</w:t>
            </w:r>
          </w:p>
        </w:tc>
        <w:tc>
          <w:tcPr/>
          <w:p>
            <w:pPr>
              <w:pStyle w:val="Compact"/>
              <w:jc w:val="left"/>
            </w:pPr>
            <w:r>
              <w:t xml:space="preserve">Interfaces</w:t>
            </w:r>
          </w:p>
        </w:tc>
        <w:tc>
          <w:tcPr/>
          <w:p>
            <w:pPr>
              <w:jc w:val="left"/>
            </w:pPr>
            <w:r>
              <w:t xml:space="preserve">Parameters for the ports of the given</w:t>
            </w:r>
            <w:r>
              <w:t xml:space="preserve"> </w:t>
            </w:r>
            <w:r>
              <w:t xml:space="preserve">component:</w:t>
            </w:r>
          </w:p>
          <w:p>
            <w:pPr>
              <w:pStyle w:val="Compact"/>
              <w:numPr>
                <w:ilvl w:val="0"/>
                <w:numId w:val="1020"/>
              </w:numPr>
              <w:jc w:val="left"/>
            </w:pPr>
            <w:r>
              <w:t xml:space="preserve">Port (mcaPort, mcaPortIn, mccPort,</w:t>
            </w:r>
            <w:r>
              <w:t xml:space="preserve"> </w:t>
            </w:r>
            <w:r>
              <w:t xml:space="preserve">mccPortIn)</w:t>
            </w:r>
          </w:p>
          <w:p>
            <w:pPr>
              <w:pStyle w:val="Compact"/>
              <w:numPr>
                <w:ilvl w:val="0"/>
                <w:numId w:val="1020"/>
              </w:numPr>
              <w:jc w:val="left"/>
            </w:pPr>
            <w:r>
              <w:t xml:space="preserve">Host (SUT IP address :port)</w:t>
            </w:r>
          </w:p>
          <w:p>
            <w:pPr>
              <w:pStyle w:val="Compact"/>
              <w:numPr>
                <w:ilvl w:val="0"/>
                <w:numId w:val="1020"/>
              </w:numPr>
              <w:jc w:val="left"/>
            </w:pPr>
            <w:r>
              <w:t xml:space="preserve">Protocol binding</w:t>
            </w:r>
          </w:p>
          <w:p>
            <w:pPr>
              <w:pStyle w:val="Compact"/>
              <w:numPr>
                <w:ilvl w:val="0"/>
                <w:numId w:val="1020"/>
              </w:numPr>
              <w:jc w:val="left"/>
            </w:pPr>
            <w:r>
              <w:t xml:space="preserve">Serialization</w:t>
            </w:r>
          </w:p>
        </w:tc>
      </w:tr>
      <w:tr>
        <w:tc>
          <w:tcPr>
            <w:gridSpan w:val="4"/>
          </w:tcPr>
          <w:p>
            <w:pPr>
              <w:pStyle w:val="Compact"/>
              <w:jc w:val="left"/>
            </w:pPr>
            <w:r>
              <w:t xml:space="preserve">Note that vc_aeSimu and vc_cseSimu are not common to the other defined test components, but those variables are</w:t>
            </w:r>
            <w:r>
              <w:t xml:space="preserve"> </w:t>
            </w:r>
            <w:r>
              <w:t xml:space="preserve">required in Tester for the correct activation/deactivation of default behaviours.</w:t>
            </w:r>
          </w:p>
        </w:tc>
      </w:tr>
    </w:tbl>
    <w:bookmarkEnd w:id="69"/>
    <w:bookmarkStart w:id="70" w:name="aesimu"/>
    <w:p>
      <w:pPr>
        <w:pStyle w:val="Heading3"/>
      </w:pPr>
      <w:r>
        <w:t xml:space="preserve">5.5.2 AeSimu</w:t>
      </w:r>
    </w:p>
    <w:p>
      <w:pPr>
        <w:pStyle w:val="FirstParagraph"/>
      </w:pPr>
      <w:r>
        <w:t xml:space="preserve">The AeSimu test component extends the Tester component by adding elements specific to an AE entity. Table 5.5.2-1 summarizes those elements.</w:t>
      </w:r>
    </w:p>
    <w:p>
      <w:pPr>
        <w:pStyle w:val="TableCaption"/>
      </w:pPr>
      <w:r>
        <w:t xml:space="preserve">Table 5.5.2-1: AeSimu component elements</w:t>
      </w:r>
    </w:p>
    <w:tbl>
      <w:tblPr>
        <w:tblStyle w:val="Table"/>
        <w:tblW w:type="pct" w:w="5000"/>
        <w:tblLayout w:type="fixed"/>
        <w:tblLook w:firstRow="1" w:lastRow="0" w:firstColumn="0" w:lastColumn="0" w:noHBand="0" w:noVBand="0" w:val="0020"/>
        <w:tblCaption w:val="Table 5.5.2-1: A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vc_ae2</w:t>
            </w:r>
          </w:p>
        </w:tc>
        <w:tc>
          <w:tcPr/>
          <w:p>
            <w:pPr>
              <w:pStyle w:val="Compact"/>
            </w:pPr>
            <w:r>
              <w:t xml:space="preserve">test component</w:t>
            </w:r>
          </w:p>
        </w:tc>
        <w:tc>
          <w:tcPr/>
          <w:p>
            <w:pPr>
              <w:pStyle w:val="Compact"/>
            </w:pPr>
            <w:r>
              <w:t xml:space="preserve">AeSimu</w:t>
            </w:r>
          </w:p>
        </w:tc>
        <w:tc>
          <w:tcPr/>
          <w:p>
            <w:pPr>
              <w:pStyle w:val="Compact"/>
            </w:pPr>
            <w:r>
              <w:t xml:space="preserve">Reference to the AE2 component when required</w:t>
            </w:r>
          </w:p>
        </w:tc>
      </w:tr>
      <w:tr>
        <w:tc>
          <w:tcPr/>
          <w:p>
            <w:pPr>
              <w:pStyle w:val="Compact"/>
            </w:pPr>
            <w:r>
              <w:t xml:space="preserve">vc_cse1</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CF02 is used</w:t>
            </w:r>
          </w:p>
        </w:tc>
      </w:tr>
      <w:tr>
        <w:tc>
          <w:tcPr/>
          <w:p>
            <w:pPr>
              <w:pStyle w:val="Compact"/>
            </w:pPr>
            <w:r>
              <w:t xml:space="preserve">vc_auxiliaryAe2Up</w:t>
            </w:r>
          </w:p>
        </w:tc>
        <w:tc>
          <w:tcPr/>
          <w:p>
            <w:pPr>
              <w:pStyle w:val="Compact"/>
            </w:pPr>
            <w:r>
              <w:t xml:space="preserve">variable</w:t>
            </w:r>
          </w:p>
        </w:tc>
        <w:tc>
          <w:tcPr/>
          <w:p>
            <w:pPr>
              <w:pStyle w:val="Compact"/>
            </w:pPr>
            <w:r>
              <w:t xml:space="preserve">boolean</w:t>
            </w:r>
          </w:p>
        </w:tc>
        <w:tc>
          <w:tcPr/>
          <w:p>
            <w:pPr>
              <w:pStyle w:val="Compact"/>
            </w:pPr>
            <w:r>
              <w:t xml:space="preserve">Flag to indicate that AE2 component has been started</w:t>
            </w:r>
          </w:p>
        </w:tc>
      </w:tr>
      <w:tr>
        <w:tc>
          <w:tcPr/>
          <w:p>
            <w:pPr>
              <w:pStyle w:val="Compact"/>
            </w:pPr>
            <w:r>
              <w:t xml:space="preserve">vc_aeIndex</w:t>
            </w:r>
          </w:p>
        </w:tc>
        <w:tc>
          <w:tcPr/>
          <w:p>
            <w:pPr>
              <w:pStyle w:val="Compact"/>
            </w:pPr>
            <w:r>
              <w:t xml:space="preserve">variable</w:t>
            </w:r>
          </w:p>
        </w:tc>
        <w:tc>
          <w:tcPr/>
          <w:p>
            <w:pPr>
              <w:pStyle w:val="Compact"/>
            </w:pPr>
            <w:r>
              <w:t xml:space="preserve">integer</w:t>
            </w:r>
          </w:p>
        </w:tc>
        <w:tc>
          <w:tcPr/>
          <w:p>
            <w:pPr>
              <w:pStyle w:val="Compact"/>
            </w:pPr>
            <w:r>
              <w:t xml:space="preserve">Index of the AE resource in vc_resourcesList created by the AeSimu component</w:t>
            </w:r>
          </w:p>
        </w:tc>
      </w:tr>
    </w:tbl>
    <w:bookmarkEnd w:id="70"/>
    <w:bookmarkStart w:id="71" w:name="csesimu"/>
    <w:p>
      <w:pPr>
        <w:pStyle w:val="Heading3"/>
      </w:pPr>
      <w:r>
        <w:t xml:space="preserve">5.5.3 CseSimu</w:t>
      </w:r>
    </w:p>
    <w:p>
      <w:pPr>
        <w:pStyle w:val="FirstParagraph"/>
      </w:pPr>
      <w:r>
        <w:t xml:space="preserve">The CseSimu test component extends the Tester component by adding elements specific to an CSE entity. Table 5.5.3-1 summarizes those elements.</w:t>
      </w:r>
    </w:p>
    <w:p>
      <w:pPr>
        <w:pStyle w:val="TableCaption"/>
      </w:pPr>
      <w:r>
        <w:t xml:space="preserve">Table 5.5.3-1: CseSimu component elements</w:t>
      </w:r>
    </w:p>
    <w:tbl>
      <w:tblPr>
        <w:tblStyle w:val="Table"/>
        <w:tblW w:type="pct" w:w="5000"/>
        <w:tblLayout w:type="fixed"/>
        <w:tblLook w:firstRow="1" w:lastRow="0" w:firstColumn="0" w:lastColumn="0" w:noHBand="0" w:noVBand="0" w:val="0020"/>
        <w:tblCaption w:val="Table 5.5.3-1: Cs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mccPort</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client (sending requests)</w:t>
            </w:r>
          </w:p>
        </w:tc>
      </w:tr>
      <w:tr>
        <w:tc>
          <w:tcPr/>
          <w:p>
            <w:pPr>
              <w:pStyle w:val="Compact"/>
            </w:pPr>
            <w:r>
              <w:t xml:space="preserve">mccPortIn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server (receiving requests)</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CF02 (CseSimu as master) is used</w:t>
            </w:r>
          </w:p>
        </w:tc>
      </w:tr>
      <w:tr>
        <w:tc>
          <w:tcPr/>
          <w:p>
            <w:pPr>
              <w:pStyle w:val="Compact"/>
            </w:pPr>
            <w:r>
              <w:t xml:space="preserve">vc_localResourcesList</w:t>
            </w:r>
          </w:p>
        </w:tc>
        <w:tc>
          <w:tcPr/>
          <w:p>
            <w:pPr>
              <w:pStyle w:val="Compact"/>
            </w:pPr>
            <w:r>
              <w:t xml:space="preserve">variable</w:t>
            </w:r>
          </w:p>
        </w:tc>
        <w:tc>
          <w:tcPr/>
          <w:p>
            <w:pPr>
              <w:pStyle w:val="Compact"/>
            </w:pPr>
            <w:r>
              <w:t xml:space="preserve">MyResourcesList</w:t>
            </w:r>
          </w:p>
        </w:tc>
        <w:tc>
          <w:tcPr/>
          <w:p>
            <w:pPr>
              <w:pStyle w:val="Compact"/>
            </w:pPr>
            <w:r>
              <w:t xml:space="preserve">List of all resources created by the IUT on the test system</w:t>
            </w:r>
          </w:p>
        </w:tc>
      </w:tr>
      <w:tr>
        <w:tc>
          <w:tcPr/>
          <w:p>
            <w:pPr>
              <w:pStyle w:val="Compact"/>
            </w:pPr>
            <w:r>
              <w:t xml:space="preserve">vc_localRemoteCseIndex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vc_localResourcesList representing the IUT (CSE)</w:t>
            </w:r>
          </w:p>
        </w:tc>
      </w:tr>
      <w:tr>
        <w:tc>
          <w:tcPr/>
          <w:p>
            <w:pPr>
              <w:pStyle w:val="Compact"/>
            </w:pPr>
            <w:r>
              <w:t xml:space="preserve">vc_remoteCseIndex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vc_resourcesList representing the CseSimu component</w:t>
            </w:r>
          </w:p>
        </w:tc>
      </w:tr>
      <w:tr>
        <w:tc>
          <w:tcPr/>
          <w:p>
            <w:pPr>
              <w:pStyle w:val="Compact"/>
            </w:pPr>
            <w:r>
              <w:t xml:space="preserve">vc_cSEBaseIndex</w:t>
            </w:r>
          </w:p>
        </w:tc>
        <w:tc>
          <w:tcPr/>
          <w:p>
            <w:pPr>
              <w:pStyle w:val="Compact"/>
            </w:pPr>
            <w:r>
              <w:t xml:space="preserve">variable</w:t>
            </w:r>
          </w:p>
        </w:tc>
        <w:tc>
          <w:tcPr/>
          <w:p>
            <w:pPr>
              <w:pStyle w:val="Compact"/>
            </w:pPr>
            <w:r>
              <w:t xml:space="preserve">integer</w:t>
            </w:r>
          </w:p>
        </w:tc>
        <w:tc>
          <w:tcPr/>
          <w:p>
            <w:pPr>
              <w:pStyle w:val="Compact"/>
            </w:pPr>
            <w:r>
              <w:t xml:space="preserve">Index of the CSEBase resource in vc_localResourcesList of the CseSimu component</w:t>
            </w:r>
          </w:p>
        </w:tc>
      </w:tr>
      <w:tr>
        <w:tc>
          <w:tcPr/>
          <w:p>
            <w:pPr>
              <w:pStyle w:val="Compact"/>
            </w:pPr>
            <w:r>
              <w:t xml:space="preserve">vc_cseType</w:t>
            </w:r>
          </w:p>
        </w:tc>
        <w:tc>
          <w:tcPr/>
          <w:p>
            <w:pPr>
              <w:pStyle w:val="Compact"/>
            </w:pPr>
            <w:r>
              <w:t xml:space="preserve">variable</w:t>
            </w:r>
          </w:p>
        </w:tc>
        <w:tc>
          <w:tcPr/>
          <w:p>
            <w:pPr>
              <w:pStyle w:val="Compact"/>
            </w:pPr>
            <w:r>
              <w:t xml:space="preserve">CseTypeID</w:t>
            </w:r>
          </w:p>
        </w:tc>
        <w:tc>
          <w:tcPr/>
          <w:p>
            <w:pPr>
              <w:pStyle w:val="Compact"/>
            </w:pPr>
            <w:r>
              <w:t xml:space="preserve">CSE type of the test system (default is MN)</w:t>
            </w:r>
          </w:p>
        </w:tc>
      </w:tr>
    </w:tbl>
    <w:bookmarkEnd w:id="71"/>
    <w:bookmarkEnd w:id="72"/>
    <w:bookmarkStart w:id="76" w:name="test-strategy"/>
    <w:p>
      <w:pPr>
        <w:pStyle w:val="Heading2"/>
      </w:pPr>
      <w:r>
        <w:t xml:space="preserve">5.6 Test strategy</w:t>
      </w:r>
    </w:p>
    <w:p>
      <w:pPr>
        <w:pStyle w:val="FirstParagraph"/>
      </w:pPr>
      <w:r>
        <w:t xml:space="preserve">This clause introduces the test strategy being used for the TTCN-3 test cases. The chosen strategy permits to have a clear structure of the code that facilitates an easy navigation throw the different test steps.</w:t>
      </w:r>
    </w:p>
    <w:p>
      <w:pPr>
        <w:pStyle w:val="BodyText"/>
      </w:pPr>
      <w:r>
        <w:t xml:space="preserve">The use of the TTCN-3 MTC and PTC(s) is as depicted in figure 5.6-1.</w:t>
      </w:r>
    </w:p>
    <w:p>
      <w:pPr>
        <w:pStyle w:val="CaptionedFigure"/>
      </w:pPr>
      <w:r>
        <w:drawing>
          <wp:inline>
            <wp:extent cx="2136161" cy="1175657"/>
            <wp:effectExtent b="0" l="0" r="0" t="0"/>
            <wp:docPr descr="Figure 5.6-1: Use of TTCN-3 components" title="" id="74" name="Picture"/>
            <a:graphic>
              <a:graphicData uri="http://schemas.openxmlformats.org/drawingml/2006/picture">
                <pic:pic>
                  <pic:nvPicPr>
                    <pic:cNvPr descr="media/image11.png" id="75" name="Picture"/>
                    <pic:cNvPicPr>
                      <a:picLocks noChangeArrowheads="1" noChangeAspect="1"/>
                    </pic:cNvPicPr>
                  </pic:nvPicPr>
                  <pic:blipFill>
                    <a:blip r:embed="rId73"/>
                    <a:stretch>
                      <a:fillRect/>
                    </a:stretch>
                  </pic:blipFill>
                  <pic:spPr bwMode="auto">
                    <a:xfrm>
                      <a:off x="0" y="0"/>
                      <a:ext cx="2136161" cy="1175657"/>
                    </a:xfrm>
                    <a:prstGeom prst="rect">
                      <a:avLst/>
                    </a:prstGeom>
                    <a:noFill/>
                    <a:ln w="9525">
                      <a:noFill/>
                      <a:headEnd/>
                      <a:tailEnd/>
                    </a:ln>
                  </pic:spPr>
                </pic:pic>
              </a:graphicData>
            </a:graphic>
          </wp:inline>
        </w:drawing>
      </w:r>
    </w:p>
    <w:p>
      <w:pPr>
        <w:pStyle w:val="ImageCaption"/>
      </w:pPr>
      <w:r>
        <w:t xml:space="preserve">Figure 5.6-1: Use of TTCN-3 components</w:t>
      </w:r>
    </w:p>
    <w:p>
      <w:pPr>
        <w:pStyle w:val="BodyText"/>
      </w:pPr>
      <w:r>
        <w:t xml:space="preserve">At the start of the test case execution, the MTC is created. Then, the MTC executes the following steps:</w:t>
      </w:r>
    </w:p>
    <w:p>
      <w:pPr>
        <w:numPr>
          <w:ilvl w:val="0"/>
          <w:numId w:val="1021"/>
        </w:numPr>
      </w:pPr>
      <w:r>
        <w:t xml:space="preserve">Step 1) initialization of the master PTC.</w:t>
      </w:r>
    </w:p>
    <w:p>
      <w:pPr>
        <w:numPr>
          <w:ilvl w:val="0"/>
          <w:numId w:val="1021"/>
        </w:numPr>
      </w:pPr>
      <w:r>
        <w:t xml:space="preserve">Step 2) initialization of some parameters if required for the permutation test cases.</w:t>
      </w:r>
    </w:p>
    <w:p>
      <w:pPr>
        <w:numPr>
          <w:ilvl w:val="0"/>
          <w:numId w:val="1021"/>
        </w:numPr>
      </w:pPr>
      <w:r>
        <w:t xml:space="preserve">Step 3) running of the appropriate function on the master PTC. The function run on the master PTC implements a given Test Purpose. Such function follows a code structure as indicated here below:</w:t>
      </w:r>
    </w:p>
    <w:p>
      <w:pPr>
        <w:pStyle w:val="Compact"/>
        <w:numPr>
          <w:ilvl w:val="1"/>
          <w:numId w:val="1022"/>
        </w:numPr>
      </w:pPr>
      <w:r>
        <w:t xml:space="preserve">Local Variables, declaration of local variables.</w:t>
      </w:r>
    </w:p>
    <w:p>
      <w:pPr>
        <w:pStyle w:val="Compact"/>
        <w:numPr>
          <w:ilvl w:val="1"/>
          <w:numId w:val="1022"/>
        </w:numPr>
      </w:pPr>
      <w:r>
        <w:t xml:space="preserve">Test Control, checking IUT capability parameters required for the proper execution of the test.</w:t>
      </w:r>
    </w:p>
    <w:p>
      <w:pPr>
        <w:pStyle w:val="Compact"/>
        <w:numPr>
          <w:ilvl w:val="1"/>
          <w:numId w:val="1022"/>
        </w:numPr>
      </w:pPr>
      <w:r>
        <w:t xml:space="preserve">Test Component Configuration, that initializes the given test component and other test components acting as slave PTC(s) as required by a given configuration.</w:t>
      </w:r>
    </w:p>
    <w:p>
      <w:pPr>
        <w:pStyle w:val="Compact"/>
        <w:numPr>
          <w:ilvl w:val="1"/>
          <w:numId w:val="1022"/>
        </w:numPr>
      </w:pPr>
      <w:r>
        <w:t xml:space="preserve">Test adapter configuration, that configures the test adapter throw the acPort if required.</w:t>
      </w:r>
    </w:p>
    <w:p>
      <w:pPr>
        <w:pStyle w:val="Compact"/>
        <w:numPr>
          <w:ilvl w:val="1"/>
          <w:numId w:val="1022"/>
        </w:numPr>
      </w:pPr>
      <w:r>
        <w:t xml:space="preserve">Preamble, that implements the necessary test steps as described in the Initial conditions of a Test Purpose. It may also implement additional test steps which are required for the correct execution of the test.</w:t>
      </w:r>
    </w:p>
    <w:p>
      <w:pPr>
        <w:pStyle w:val="Compact"/>
        <w:numPr>
          <w:ilvl w:val="1"/>
          <w:numId w:val="1022"/>
        </w:numPr>
      </w:pPr>
      <w:r>
        <w:t xml:space="preserve">Test body, that implements the test steps as described in the Expected behaviour of a Test Purpose.</w:t>
      </w:r>
    </w:p>
    <w:p>
      <w:pPr>
        <w:pStyle w:val="Compact"/>
        <w:numPr>
          <w:ilvl w:val="1"/>
          <w:numId w:val="1022"/>
        </w:numPr>
      </w:pPr>
      <w:r>
        <w:t xml:space="preserve">Postamble, that implements the necessary test steps to bring the IUT back to the initial state.</w:t>
      </w:r>
    </w:p>
    <w:p>
      <w:pPr>
        <w:pStyle w:val="Compact"/>
        <w:numPr>
          <w:ilvl w:val="1"/>
          <w:numId w:val="1022"/>
        </w:numPr>
      </w:pPr>
      <w:r>
        <w:t xml:space="preserve">Tear down, that finalizes properly the TTCN-3 ports used by the different test components depending on the configuration.</w:t>
      </w:r>
    </w:p>
    <w:p>
      <w:pPr>
        <w:pStyle w:val="FirstParagraph"/>
      </w:pPr>
      <w:r>
        <w:t xml:space="preserve">While master PTC follows the test structure described above, slave PTC(s) run only certain procedures, usually one by one, as mandated by the master PTC.</w:t>
      </w:r>
    </w:p>
    <w:p>
      <w:pPr>
        <w:pStyle w:val="BodyText"/>
      </w:pPr>
      <w:r>
        <w:t xml:space="preserve">A procedure usually implements a oneM2M request-response exchange between a given PTC and the IUT, although it can implement any other specific action (sending or reception of a message, several request-response exchanges, etc.).</w:t>
      </w:r>
    </w:p>
    <w:p>
      <w:pPr>
        <w:pStyle w:val="Compact"/>
        <w:numPr>
          <w:ilvl w:val="0"/>
          <w:numId w:val="1023"/>
        </w:numPr>
      </w:pPr>
      <w:r>
        <w:t xml:space="preserve">Step 4) checking of some parameters if required for the permutation test cases.</w:t>
      </w:r>
    </w:p>
    <w:p>
      <w:pPr>
        <w:pStyle w:val="FirstParagraph"/>
      </w:pPr>
      <w:r>
        <w:t xml:space="preserve">This test strategy may slightly vary for certain cases where specific requirements need to be fulfilled.</w:t>
      </w:r>
    </w:p>
    <w:bookmarkEnd w:id="76"/>
    <w:bookmarkEnd w:id="77"/>
    <w:bookmarkStart w:id="78" w:name="untestable-test-purposes"/>
    <w:p>
      <w:pPr>
        <w:pStyle w:val="Heading1"/>
      </w:pPr>
      <w:r>
        <w:t xml:space="preserve">6 Untestable Test Purposes</w:t>
      </w:r>
    </w:p>
    <w:p>
      <w:pPr>
        <w:pStyle w:val="FirstParagraph"/>
      </w:pPr>
      <w:r>
        <w:t xml:space="preserve">Void.</w:t>
      </w:r>
    </w:p>
    <w:bookmarkEnd w:id="78"/>
    <w:bookmarkStart w:id="90" w:name="ats-conventions"/>
    <w:p>
      <w:pPr>
        <w:pStyle w:val="Heading1"/>
      </w:pPr>
      <w:r>
        <w:t xml:space="preserve">7 ATS Conventions</w:t>
      </w:r>
    </w:p>
    <w:bookmarkStart w:id="79" w:name="introduction-3"/>
    <w:p>
      <w:pPr>
        <w:pStyle w:val="Heading2"/>
      </w:pPr>
      <w:r>
        <w:t xml:space="preserve">7.0 Introduction</w:t>
      </w:r>
    </w:p>
    <w:p>
      <w:pPr>
        <w:pStyle w:val="FirstParagraph"/>
      </w:pPr>
      <w:r>
        <w:t xml:space="preserve">The ATS conventions are intended to give a better understanding of the ATS but they also describe the conventions made for the development of the ATS. These conventions shall be considered during any later maintenance or further development of the ATS.</w:t>
      </w:r>
    </w:p>
    <w:p>
      <w:pPr>
        <w:pStyle w:val="BodyText"/>
      </w:pPr>
      <w:r>
        <w:t xml:space="preserve">The ATS conventions contain two clauses, the naming conventions and the implementation conventions. The naming conventions describe the structure of the naming of all ATS elements. The implementation conventions describe the functional structure of the ATS.</w:t>
      </w:r>
    </w:p>
    <w:p>
      <w:pPr>
        <w:pStyle w:val="BodyText"/>
      </w:pPr>
      <w:r>
        <w:t xml:space="preserve">To define the ATS, the guidelines of oneM2M TS-0015</w:t>
      </w:r>
      <w:r>
        <w:t xml:space="preserve"> </w:t>
      </w:r>
      <w:r>
        <w:t xml:space="preserve">[i.2]</w:t>
      </w:r>
      <w:r>
        <w:t xml:space="preserve"> </w:t>
      </w:r>
      <w:r>
        <w:t xml:space="preserve">were considered.</w:t>
      </w:r>
    </w:p>
    <w:bookmarkEnd w:id="79"/>
    <w:bookmarkStart w:id="83" w:name="testing-conventions"/>
    <w:p>
      <w:pPr>
        <w:pStyle w:val="Heading2"/>
      </w:pPr>
      <w:r>
        <w:t xml:space="preserve">7.1 Testing conventions</w:t>
      </w:r>
    </w:p>
    <w:bookmarkStart w:id="82" w:name="testing-states"/>
    <w:p>
      <w:pPr>
        <w:pStyle w:val="Heading3"/>
      </w:pPr>
      <w:r>
        <w:t xml:space="preserve">7.1.1 Testing states</w:t>
      </w:r>
    </w:p>
    <w:bookmarkStart w:id="80" w:name="initial-state"/>
    <w:p>
      <w:pPr>
        <w:pStyle w:val="Heading4"/>
      </w:pPr>
      <w:r>
        <w:t xml:space="preserve">7.1.1.1 Initial state</w:t>
      </w:r>
    </w:p>
    <w:p>
      <w:pPr>
        <w:pStyle w:val="FirstParagraph"/>
      </w:pPr>
      <w:r>
        <w:t xml:space="preserve">All test cases start with the function f_preamble_XYZ. This function brings the IUT in an</w:t>
      </w:r>
      <w:r>
        <w:t xml:space="preserve"> </w:t>
      </w:r>
      <w:r>
        <w:t xml:space="preserve">“initialized”</w:t>
      </w:r>
      <w:r>
        <w:t xml:space="preserve"> </w:t>
      </w:r>
      <w:r>
        <w:t xml:space="preserve">state by performing some actions such as registration of AE, creation of auxiliary access control policy resource, creation of additional needed resources.</w:t>
      </w:r>
    </w:p>
    <w:bookmarkEnd w:id="80"/>
    <w:bookmarkStart w:id="81" w:name="final-state"/>
    <w:p>
      <w:pPr>
        <w:pStyle w:val="Heading4"/>
      </w:pPr>
      <w:r>
        <w:t xml:space="preserve">7.1.1.2 Final state</w:t>
      </w:r>
    </w:p>
    <w:p>
      <w:pPr>
        <w:pStyle w:val="FirstParagraph"/>
      </w:pPr>
      <w:r>
        <w:t xml:space="preserve">All test cases end with the function f_postamble_XYZ. This function brings the IUT back in an</w:t>
      </w:r>
      <w:r>
        <w:t xml:space="preserve"> </w:t>
      </w:r>
      <w:r>
        <w:t xml:space="preserve">“idle”</w:t>
      </w:r>
      <w:r>
        <w:t xml:space="preserve"> </w:t>
      </w:r>
      <w:r>
        <w:t xml:space="preserve">state which means deletion of all created resources being used by the test case so that next test case execution is not disturbed.</w:t>
      </w:r>
    </w:p>
    <w:p>
      <w:pPr>
        <w:pStyle w:val="BodyText"/>
      </w:pPr>
      <w:r>
        <w:t xml:space="preserve">As necessary, further actions may be included in the f_postamble functions.</w:t>
      </w:r>
    </w:p>
    <w:bookmarkEnd w:id="81"/>
    <w:bookmarkEnd w:id="82"/>
    <w:bookmarkEnd w:id="83"/>
    <w:bookmarkStart w:id="88" w:name="naming-conventions"/>
    <w:p>
      <w:pPr>
        <w:pStyle w:val="Heading2"/>
      </w:pPr>
      <w:r>
        <w:t xml:space="preserve">7.2 Naming conventions</w:t>
      </w:r>
    </w:p>
    <w:bookmarkStart w:id="84" w:name="general-guidelines"/>
    <w:p>
      <w:pPr>
        <w:pStyle w:val="Heading3"/>
      </w:pPr>
      <w:r>
        <w:t xml:space="preserve">7.2.1 General guidelines</w:t>
      </w:r>
    </w:p>
    <w:p>
      <w:pPr>
        <w:pStyle w:val="FirstParagraph"/>
      </w:pPr>
      <w:r>
        <w:t xml:space="preserve">This test suite follows the naming convention guidelines provided in oneM2M TS-0015</w:t>
      </w:r>
      <w:r>
        <w:t xml:space="preserve"> </w:t>
      </w:r>
      <w:r>
        <w:t xml:space="preserve">[i.2]</w:t>
      </w:r>
      <w:r>
        <w:t xml:space="preserve">.</w:t>
      </w:r>
    </w:p>
    <w:p>
      <w:pPr>
        <w:pStyle w:val="BodyText"/>
      </w:pPr>
      <w:r>
        <w:t xml:space="preserve">The naming convention is based on the following underlying principles:</w:t>
      </w:r>
    </w:p>
    <w:p>
      <w:pPr>
        <w:pStyle w:val="Compact"/>
        <w:numPr>
          <w:ilvl w:val="0"/>
          <w:numId w:val="1024"/>
        </w:numPr>
      </w:pPr>
      <w:r>
        <w:t xml:space="preserve">in most cases, identifiers should be prefixed with a short alphabetic string (specified in table 7.2.1-1) indicating the type of TTCN3 element it represents;</w:t>
      </w:r>
    </w:p>
    <w:p>
      <w:pPr>
        <w:pStyle w:val="Compact"/>
        <w:numPr>
          <w:ilvl w:val="0"/>
          <w:numId w:val="1024"/>
        </w:numPr>
      </w:pPr>
      <w:r>
        <w:t xml:space="preserve">suffixes should not be used except in those specific cases identified in table 7.2.1-1;</w:t>
      </w:r>
    </w:p>
    <w:p>
      <w:pPr>
        <w:pStyle w:val="Compact"/>
        <w:numPr>
          <w:ilvl w:val="0"/>
          <w:numId w:val="1024"/>
        </w:numPr>
      </w:pPr>
      <w:r>
        <w:t xml:space="preserve">prefixes and suffixes should be separated from the body of the identifier with an underscore (</w:t>
      </w:r>
      <w:r>
        <w:t xml:space="preserve">“_”</w:t>
      </w:r>
      <w:r>
        <w:t xml:space="preserve">);</w:t>
      </w:r>
    </w:p>
    <w:p>
      <w:pPr>
        <w:pStyle w:val="FirstParagraph"/>
      </w:pPr>
      <w:r>
        <w:rPr>
          <w:rStyle w:val="VerbatimChar"/>
        </w:rPr>
        <w:t xml:space="preserve">EXAMPLE 1:    c\_sixteen, t\_wait.</w:t>
      </w:r>
    </w:p>
    <w:p>
      <w:pPr>
        <w:pStyle w:val="Compact"/>
        <w:numPr>
          <w:ilvl w:val="0"/>
          <w:numId w:val="1025"/>
        </w:numPr>
      </w:pPr>
      <w:r>
        <w:t xml:space="preserve">only module names, data type names and module parameters should begin with an uppercase letter. All other names (i.e. the part of the identifier following the prefix) should begin with a lowercase letter;</w:t>
      </w:r>
    </w:p>
    <w:p>
      <w:pPr>
        <w:pStyle w:val="Compact"/>
        <w:numPr>
          <w:ilvl w:val="0"/>
          <w:numId w:val="1025"/>
        </w:numPr>
      </w:pPr>
      <w:r>
        <w:t xml:space="preserve">the start of second and subsequent words in an identifier should be indicated by capitalizing the first character. Underscores should not be used for this purpose.</w:t>
      </w:r>
    </w:p>
    <w:p>
      <w:pPr>
        <w:pStyle w:val="FirstParagraph"/>
      </w:pPr>
      <w:r>
        <w:rPr>
          <w:rStyle w:val="VerbatimChar"/>
        </w:rPr>
        <w:t xml:space="preserve">EXAMPLE 2:    f\_initialState.</w:t>
      </w:r>
    </w:p>
    <w:p>
      <w:pPr>
        <w:pStyle w:val="BodyText"/>
      </w:pPr>
      <w:r>
        <w:t xml:space="preserve">Table 7.2.1-1 specifies the naming guidelines for each element of the TTCN3 language indicating the recommended prefix, suffixes (if any) and capitalization.</w:t>
      </w:r>
    </w:p>
    <w:p>
      <w:pPr>
        <w:pStyle w:val="TableCaption"/>
      </w:pPr>
      <w:r>
        <w:t xml:space="preserve">Table 7.2.1-1: TTCN-3 generic naming conventions</w:t>
      </w:r>
    </w:p>
    <w:tbl>
      <w:tblPr>
        <w:tblStyle w:val="Table"/>
        <w:tblW w:type="pct" w:w="5000"/>
        <w:tblLayout w:type="fixed"/>
        <w:tblLook w:firstRow="1" w:lastRow="0" w:firstColumn="0" w:lastColumn="0" w:noHBand="0" w:noVBand="0" w:val="0020"/>
        <w:tblCaption w:val="Table 7.2.1-1: TTCN-3 generic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Module</w:t>
            </w:r>
          </w:p>
        </w:tc>
        <w:tc>
          <w:tcPr/>
          <w:p>
            <w:pPr>
              <w:pStyle w:val="Compact"/>
            </w:pPr>
            <w:r>
              <w:t xml:space="preserve">Use upper-case initial letter</w:t>
            </w:r>
          </w:p>
        </w:tc>
        <w:tc>
          <w:tcPr/>
          <w:p>
            <w:pPr>
              <w:pStyle w:val="Compact"/>
            </w:pPr>
            <w:r>
              <w:t xml:space="preserve">none</w:t>
            </w:r>
          </w:p>
        </w:tc>
        <w:tc>
          <w:tcPr/>
          <w:p>
            <w:pPr>
              <w:pStyle w:val="Compact"/>
            </w:pPr>
            <w:r>
              <w:t xml:space="preserve">OneM2M_Templates</w:t>
            </w:r>
          </w:p>
        </w:tc>
      </w:tr>
      <w:tr>
        <w:tc>
          <w:tcPr/>
          <w:p>
            <w:pPr>
              <w:pStyle w:val="Compact"/>
            </w:pPr>
            <w:r>
              <w:t xml:space="preserve">Group within a module</w:t>
            </w:r>
          </w:p>
        </w:tc>
        <w:tc>
          <w:tcPr/>
          <w:p>
            <w:pPr>
              <w:pStyle w:val="Compact"/>
            </w:pPr>
            <w:r>
              <w:t xml:space="preserve">Use lower-case initial letter</w:t>
            </w:r>
          </w:p>
        </w:tc>
        <w:tc>
          <w:tcPr/>
          <w:p>
            <w:pPr>
              <w:pStyle w:val="Compact"/>
            </w:pPr>
            <w:r>
              <w:t xml:space="preserve">none</w:t>
            </w:r>
          </w:p>
        </w:tc>
        <w:tc>
          <w:tcPr/>
          <w:p>
            <w:pPr>
              <w:pStyle w:val="Compact"/>
            </w:pPr>
            <w:r>
              <w:t xml:space="preserve">messageGroup</w:t>
            </w:r>
          </w:p>
        </w:tc>
      </w:tr>
      <w:tr>
        <w:tc>
          <w:tcPr/>
          <w:p>
            <w:pPr>
              <w:pStyle w:val="Compact"/>
            </w:pPr>
            <w:r>
              <w:t xml:space="preserve">Data type</w:t>
            </w:r>
          </w:p>
        </w:tc>
        <w:tc>
          <w:tcPr/>
          <w:p>
            <w:pPr>
              <w:pStyle w:val="Compact"/>
            </w:pPr>
            <w:r>
              <w:t xml:space="preserve">Use upper-case initial letter</w:t>
            </w:r>
          </w:p>
        </w:tc>
        <w:tc>
          <w:tcPr/>
          <w:p>
            <w:pPr>
              <w:pStyle w:val="Compact"/>
            </w:pPr>
            <w:r>
              <w:t xml:space="preserve">none</w:t>
            </w:r>
          </w:p>
        </w:tc>
        <w:tc>
          <w:tcPr/>
          <w:p>
            <w:pPr>
              <w:pStyle w:val="Compact"/>
            </w:pPr>
            <w:r>
              <w:t xml:space="preserve">SetupContents</w:t>
            </w:r>
          </w:p>
        </w:tc>
      </w:tr>
      <w:tr>
        <w:tc>
          <w:tcPr/>
          <w:p>
            <w:pPr>
              <w:pStyle w:val="Compact"/>
            </w:pPr>
            <w:r>
              <w:t xml:space="preserve">Message template</w:t>
            </w:r>
          </w:p>
        </w:tc>
        <w:tc>
          <w:tcPr/>
          <w:p>
            <w:pPr>
              <w:pStyle w:val="Compact"/>
            </w:pPr>
            <w:r>
              <w:t xml:space="preserve">Use lower-case initial letter</w:t>
            </w:r>
          </w:p>
        </w:tc>
        <w:tc>
          <w:tcPr/>
          <w:p>
            <w:pPr>
              <w:pStyle w:val="Compact"/>
            </w:pPr>
            <w:r>
              <w:t xml:space="preserve">m_</w:t>
            </w:r>
          </w:p>
        </w:tc>
        <w:tc>
          <w:tcPr/>
          <w:p>
            <w:pPr>
              <w:pStyle w:val="Compact"/>
            </w:pPr>
            <w:r>
              <w:t xml:space="preserve">m_setupInit</w:t>
            </w:r>
          </w:p>
        </w:tc>
      </w:tr>
      <w:tr>
        <w:tc>
          <w:tcPr/>
          <w:p>
            <w:pPr>
              <w:pStyle w:val="Compact"/>
            </w:pPr>
            <w:r>
              <w:t xml:space="preserve">Message template with wildcard or matching expression</w:t>
            </w:r>
          </w:p>
        </w:tc>
        <w:tc>
          <w:tcPr/>
          <w:p>
            <w:pPr>
              <w:pStyle w:val="Compact"/>
            </w:pPr>
            <w:r>
              <w:t xml:space="preserve">Use lower-case initial letters</w:t>
            </w:r>
          </w:p>
        </w:tc>
        <w:tc>
          <w:tcPr/>
          <w:p>
            <w:pPr>
              <w:pStyle w:val="Compact"/>
            </w:pPr>
            <w:r>
              <w:t xml:space="preserve">mw_</w:t>
            </w:r>
          </w:p>
        </w:tc>
        <w:tc>
          <w:tcPr/>
          <w:p>
            <w:pPr>
              <w:pStyle w:val="Compact"/>
            </w:pPr>
            <w:r>
              <w:t xml:space="preserve">mw_anyUserReply</w:t>
            </w:r>
          </w:p>
        </w:tc>
      </w:tr>
      <w:tr>
        <w:tc>
          <w:tcPr/>
          <w:p>
            <w:pPr>
              <w:pStyle w:val="Compact"/>
            </w:pPr>
            <w:r>
              <w:t xml:space="preserve">Signature template</w:t>
            </w:r>
          </w:p>
        </w:tc>
        <w:tc>
          <w:tcPr/>
          <w:p>
            <w:pPr>
              <w:pStyle w:val="Compact"/>
            </w:pPr>
            <w:r>
              <w:t xml:space="preserve">Use lower-case initial letter</w:t>
            </w:r>
          </w:p>
        </w:tc>
        <w:tc>
          <w:tcPr/>
          <w:p>
            <w:pPr>
              <w:pStyle w:val="Compact"/>
            </w:pPr>
            <w:r>
              <w:t xml:space="preserve">s_</w:t>
            </w:r>
          </w:p>
        </w:tc>
        <w:tc>
          <w:tcPr/>
          <w:p>
            <w:pPr>
              <w:pStyle w:val="Compact"/>
            </w:pPr>
            <w:r>
              <w:t xml:space="preserve">s_callSignature</w:t>
            </w:r>
          </w:p>
        </w:tc>
      </w:tr>
      <w:tr>
        <w:tc>
          <w:tcPr/>
          <w:p>
            <w:pPr>
              <w:pStyle w:val="Compact"/>
            </w:pPr>
            <w:r>
              <w:t xml:space="preserve">Port instance</w:t>
            </w:r>
          </w:p>
        </w:tc>
        <w:tc>
          <w:tcPr/>
          <w:p>
            <w:pPr>
              <w:pStyle w:val="Compact"/>
            </w:pPr>
            <w:r>
              <w:t xml:space="preserve">Use lower-case initial letter</w:t>
            </w:r>
          </w:p>
        </w:tc>
        <w:tc>
          <w:tcPr/>
          <w:p>
            <w:pPr>
              <w:pStyle w:val="Compact"/>
            </w:pPr>
            <w:r>
              <w:t xml:space="preserve">none</w:t>
            </w:r>
          </w:p>
        </w:tc>
        <w:tc>
          <w:tcPr/>
          <w:p>
            <w:pPr>
              <w:pStyle w:val="Compact"/>
            </w:pPr>
            <w:r>
              <w:t xml:space="preserve">signallingPort</w:t>
            </w:r>
          </w:p>
        </w:tc>
      </w:tr>
      <w:tr>
        <w:tc>
          <w:tcPr/>
          <w:p>
            <w:pPr>
              <w:pStyle w:val="Compact"/>
            </w:pPr>
            <w:r>
              <w:t xml:space="preserve">Test component instance</w:t>
            </w:r>
          </w:p>
        </w:tc>
        <w:tc>
          <w:tcPr/>
          <w:p>
            <w:pPr>
              <w:pStyle w:val="Compact"/>
            </w:pPr>
            <w:r>
              <w:t xml:space="preserve">Use lower-case initial letter</w:t>
            </w:r>
          </w:p>
        </w:tc>
        <w:tc>
          <w:tcPr/>
          <w:p>
            <w:pPr>
              <w:pStyle w:val="Compact"/>
            </w:pPr>
            <w:r>
              <w:t xml:space="preserve">none</w:t>
            </w:r>
          </w:p>
        </w:tc>
        <w:tc>
          <w:tcPr/>
          <w:p>
            <w:pPr>
              <w:pStyle w:val="Compact"/>
            </w:pPr>
            <w:r>
              <w:t xml:space="preserve">userTerminal</w:t>
            </w:r>
          </w:p>
        </w:tc>
      </w:tr>
      <w:tr>
        <w:tc>
          <w:tcPr/>
          <w:p>
            <w:pPr>
              <w:pStyle w:val="Compact"/>
            </w:pPr>
            <w:r>
              <w:t xml:space="preserve">Constant</w:t>
            </w:r>
          </w:p>
        </w:tc>
        <w:tc>
          <w:tcPr/>
          <w:p>
            <w:pPr>
              <w:pStyle w:val="Compact"/>
            </w:pPr>
            <w:r>
              <w:t xml:space="preserve">Use lower-case initial letter</w:t>
            </w:r>
          </w:p>
        </w:tc>
        <w:tc>
          <w:tcPr/>
          <w:p>
            <w:pPr>
              <w:pStyle w:val="Compact"/>
            </w:pPr>
            <w:r>
              <w:t xml:space="preserve">c_</w:t>
            </w:r>
          </w:p>
        </w:tc>
        <w:tc>
          <w:tcPr/>
          <w:p>
            <w:pPr>
              <w:pStyle w:val="Compact"/>
            </w:pPr>
            <w:r>
              <w:t xml:space="preserve">c_maxRetransmission</w:t>
            </w:r>
          </w:p>
        </w:tc>
      </w:tr>
      <w:tr>
        <w:tc>
          <w:tcPr/>
          <w:p>
            <w:pPr>
              <w:pStyle w:val="Compact"/>
            </w:pPr>
            <w:r>
              <w:t xml:space="preserve">Constant (defined within component type)</w:t>
            </w:r>
          </w:p>
        </w:tc>
        <w:tc>
          <w:tcPr/>
          <w:p>
            <w:pPr>
              <w:pStyle w:val="Compact"/>
            </w:pPr>
            <w:r>
              <w:t xml:space="preserve">Use lower-case initial letter</w:t>
            </w:r>
          </w:p>
        </w:tc>
        <w:tc>
          <w:tcPr/>
          <w:p>
            <w:pPr>
              <w:pStyle w:val="Compact"/>
            </w:pPr>
            <w:r>
              <w:t xml:space="preserve">cc_</w:t>
            </w:r>
          </w:p>
        </w:tc>
        <w:tc>
          <w:tcPr/>
          <w:p>
            <w:pPr>
              <w:pStyle w:val="Compact"/>
            </w:pPr>
            <w:r>
              <w:t xml:space="preserve">cc_minDuration</w:t>
            </w:r>
          </w:p>
        </w:tc>
      </w:tr>
      <w:tr>
        <w:tc>
          <w:tcPr/>
          <w:p>
            <w:pPr>
              <w:pStyle w:val="Compact"/>
            </w:pPr>
            <w:r>
              <w:t xml:space="preserve">External constant</w:t>
            </w:r>
          </w:p>
        </w:tc>
        <w:tc>
          <w:tcPr/>
          <w:p>
            <w:pPr>
              <w:pStyle w:val="Compact"/>
            </w:pPr>
            <w:r>
              <w:t xml:space="preserve">Use lower-case initial letter</w:t>
            </w:r>
          </w:p>
        </w:tc>
        <w:tc>
          <w:tcPr/>
          <w:p>
            <w:pPr>
              <w:pStyle w:val="Compact"/>
            </w:pPr>
            <w:r>
              <w:t xml:space="preserve">cx_</w:t>
            </w:r>
          </w:p>
        </w:tc>
        <w:tc>
          <w:tcPr/>
          <w:p>
            <w:pPr>
              <w:pStyle w:val="Compact"/>
            </w:pPr>
            <w:r>
              <w:t xml:space="preserve">cx_macId</w:t>
            </w:r>
          </w:p>
        </w:tc>
      </w:tr>
      <w:tr>
        <w:tc>
          <w:tcPr/>
          <w:p>
            <w:pPr>
              <w:pStyle w:val="Compact"/>
            </w:pPr>
            <w:r>
              <w:t xml:space="preserve">Function</w:t>
            </w:r>
          </w:p>
        </w:tc>
        <w:tc>
          <w:tcPr/>
          <w:p>
            <w:pPr>
              <w:pStyle w:val="Compact"/>
            </w:pPr>
            <w:r>
              <w:t xml:space="preserve">Use lower-case initial letter</w:t>
            </w:r>
          </w:p>
        </w:tc>
        <w:tc>
          <w:tcPr/>
          <w:p>
            <w:pPr>
              <w:pStyle w:val="Compact"/>
            </w:pPr>
            <w:r>
              <w:t xml:space="preserve">f_</w:t>
            </w:r>
          </w:p>
        </w:tc>
        <w:tc>
          <w:tcPr/>
          <w:p>
            <w:pPr>
              <w:pStyle w:val="Compact"/>
            </w:pPr>
            <w:r>
              <w:t xml:space="preserve">f_authentication()</w:t>
            </w:r>
          </w:p>
        </w:tc>
      </w:tr>
      <w:tr>
        <w:tc>
          <w:tcPr/>
          <w:p>
            <w:pPr>
              <w:pStyle w:val="Compact"/>
            </w:pPr>
            <w:r>
              <w:t xml:space="preserve">External function</w:t>
            </w:r>
          </w:p>
        </w:tc>
        <w:tc>
          <w:tcPr/>
          <w:p>
            <w:pPr>
              <w:pStyle w:val="Compact"/>
            </w:pPr>
            <w:r>
              <w:t xml:space="preserve">Use lower-case initial letter</w:t>
            </w:r>
          </w:p>
        </w:tc>
        <w:tc>
          <w:tcPr/>
          <w:p>
            <w:pPr>
              <w:pStyle w:val="Compact"/>
            </w:pPr>
            <w:r>
              <w:t xml:space="preserve">fx_</w:t>
            </w:r>
          </w:p>
        </w:tc>
        <w:tc>
          <w:tcPr/>
          <w:p>
            <w:pPr>
              <w:pStyle w:val="Compact"/>
            </w:pPr>
            <w:r>
              <w:t xml:space="preserve">fx_calculateLength()</w:t>
            </w:r>
          </w:p>
        </w:tc>
      </w:tr>
      <w:tr>
        <w:tc>
          <w:tcPr/>
          <w:p>
            <w:pPr>
              <w:pStyle w:val="Compact"/>
            </w:pPr>
            <w:r>
              <w:t xml:space="preserve">Altstep (incl. Default)</w:t>
            </w:r>
          </w:p>
        </w:tc>
        <w:tc>
          <w:tcPr/>
          <w:p>
            <w:pPr>
              <w:pStyle w:val="Compact"/>
            </w:pPr>
            <w:r>
              <w:t xml:space="preserve">Use lower-case initial letter</w:t>
            </w:r>
          </w:p>
        </w:tc>
        <w:tc>
          <w:tcPr/>
          <w:p>
            <w:pPr>
              <w:pStyle w:val="Compact"/>
            </w:pPr>
            <w:r>
              <w:t xml:space="preserve">a_</w:t>
            </w:r>
          </w:p>
        </w:tc>
        <w:tc>
          <w:tcPr/>
          <w:p>
            <w:pPr>
              <w:pStyle w:val="Compact"/>
            </w:pPr>
            <w:r>
              <w:t xml:space="preserve">a_receiveSetup()</w:t>
            </w:r>
          </w:p>
        </w:tc>
      </w:tr>
      <w:tr>
        <w:tc>
          <w:tcPr/>
          <w:p>
            <w:pPr>
              <w:pStyle w:val="Compact"/>
            </w:pPr>
            <w:r>
              <w:t xml:space="preserve">Test case</w:t>
            </w:r>
          </w:p>
        </w:tc>
        <w:tc>
          <w:tcPr/>
          <w:p>
            <w:pPr>
              <w:pStyle w:val="Compact"/>
            </w:pPr>
            <w:r>
              <w:t xml:space="preserve">Use ETSI numbering</w:t>
            </w:r>
          </w:p>
        </w:tc>
        <w:tc>
          <w:tcPr/>
          <w:p>
            <w:pPr>
              <w:pStyle w:val="Compact"/>
            </w:pPr>
            <w:r>
              <w:t xml:space="preserve">TC_</w:t>
            </w:r>
          </w:p>
        </w:tc>
        <w:tc>
          <w:tcPr/>
          <w:p>
            <w:pPr>
              <w:pStyle w:val="Compact"/>
            </w:pPr>
            <w:r>
              <w:t xml:space="preserve">TC_COR_0009_47_ND</w:t>
            </w:r>
          </w:p>
        </w:tc>
      </w:tr>
      <w:tr>
        <w:tc>
          <w:tcPr/>
          <w:p>
            <w:pPr>
              <w:pStyle w:val="Compact"/>
            </w:pPr>
            <w:r>
              <w:t xml:space="preserve">Variable (local)</w:t>
            </w:r>
          </w:p>
        </w:tc>
        <w:tc>
          <w:tcPr/>
          <w:p>
            <w:pPr>
              <w:pStyle w:val="Compact"/>
            </w:pPr>
            <w:r>
              <w:t xml:space="preserve">Use lower-case initial letter</w:t>
            </w:r>
          </w:p>
        </w:tc>
        <w:tc>
          <w:tcPr/>
          <w:p>
            <w:pPr>
              <w:pStyle w:val="Compact"/>
            </w:pPr>
            <w:r>
              <w:t xml:space="preserve">v_</w:t>
            </w:r>
          </w:p>
        </w:tc>
        <w:tc>
          <w:tcPr/>
          <w:p>
            <w:pPr>
              <w:pStyle w:val="Compact"/>
            </w:pPr>
            <w:r>
              <w:t xml:space="preserve">v_macId</w:t>
            </w:r>
          </w:p>
        </w:tc>
      </w:tr>
      <w:tr>
        <w:tc>
          <w:tcPr/>
          <w:p>
            <w:pPr>
              <w:pStyle w:val="Compact"/>
            </w:pPr>
            <w:r>
              <w:t xml:space="preserve">Variable (defined within a component type)</w:t>
            </w:r>
          </w:p>
        </w:tc>
        <w:tc>
          <w:tcPr/>
          <w:p>
            <w:pPr>
              <w:pStyle w:val="Compact"/>
            </w:pPr>
            <w:r>
              <w:t xml:space="preserve">Use lower-case initial letters</w:t>
            </w:r>
          </w:p>
        </w:tc>
        <w:tc>
          <w:tcPr/>
          <w:p>
            <w:pPr>
              <w:pStyle w:val="Compact"/>
            </w:pPr>
            <w:r>
              <w:t xml:space="preserve">vc_</w:t>
            </w:r>
          </w:p>
        </w:tc>
        <w:tc>
          <w:tcPr/>
          <w:p>
            <w:pPr>
              <w:pStyle w:val="Compact"/>
            </w:pPr>
            <w:r>
              <w:t xml:space="preserve">vc_systemName</w:t>
            </w:r>
          </w:p>
        </w:tc>
      </w:tr>
      <w:tr>
        <w:tc>
          <w:tcPr/>
          <w:p>
            <w:pPr>
              <w:pStyle w:val="Compact"/>
            </w:pPr>
            <w:r>
              <w:t xml:space="preserve">Timer (local)</w:t>
            </w:r>
          </w:p>
        </w:tc>
        <w:tc>
          <w:tcPr/>
          <w:p>
            <w:pPr>
              <w:pStyle w:val="Compact"/>
            </w:pPr>
            <w:r>
              <w:t xml:space="preserve">Use lower-case initial letter</w:t>
            </w:r>
          </w:p>
        </w:tc>
        <w:tc>
          <w:tcPr/>
          <w:p>
            <w:pPr>
              <w:pStyle w:val="Compact"/>
            </w:pPr>
            <w:r>
              <w:t xml:space="preserve">t_</w:t>
            </w:r>
          </w:p>
        </w:tc>
        <w:tc>
          <w:tcPr/>
          <w:p>
            <w:pPr>
              <w:pStyle w:val="Compact"/>
            </w:pPr>
            <w:r>
              <w:t xml:space="preserve">t_wait</w:t>
            </w:r>
          </w:p>
        </w:tc>
      </w:tr>
      <w:tr>
        <w:tc>
          <w:tcPr/>
          <w:p>
            <w:pPr>
              <w:pStyle w:val="Compact"/>
            </w:pPr>
            <w:r>
              <w:t xml:space="preserve">Timer (defined within a component)</w:t>
            </w:r>
          </w:p>
        </w:tc>
        <w:tc>
          <w:tcPr/>
          <w:p>
            <w:pPr>
              <w:pStyle w:val="Compact"/>
            </w:pPr>
            <w:r>
              <w:t xml:space="preserve">Use lower-case initial letters</w:t>
            </w:r>
          </w:p>
        </w:tc>
        <w:tc>
          <w:tcPr/>
          <w:p>
            <w:pPr>
              <w:pStyle w:val="Compact"/>
            </w:pPr>
            <w:r>
              <w:t xml:space="preserve">tc_</w:t>
            </w:r>
          </w:p>
        </w:tc>
        <w:tc>
          <w:tcPr/>
          <w:p>
            <w:pPr>
              <w:pStyle w:val="Compact"/>
            </w:pPr>
            <w:r>
              <w:t xml:space="preserve">tc_authMin</w:t>
            </w:r>
          </w:p>
        </w:tc>
      </w:tr>
      <w:tr>
        <w:tc>
          <w:tcPr/>
          <w:p>
            <w:pPr>
              <w:pStyle w:val="Compact"/>
            </w:pPr>
            <w:r>
              <w:t xml:space="preserve">Module parameters for PICS</w:t>
            </w:r>
          </w:p>
        </w:tc>
        <w:tc>
          <w:tcPr/>
          <w:p>
            <w:pPr>
              <w:pStyle w:val="Compact"/>
            </w:pPr>
            <w:r>
              <w:t xml:space="preserve">Use all upper case letters</w:t>
            </w:r>
          </w:p>
        </w:tc>
        <w:tc>
          <w:tcPr/>
          <w:p>
            <w:pPr>
              <w:pStyle w:val="Compact"/>
            </w:pPr>
            <w:r>
              <w:t xml:space="preserve">PICS_</w:t>
            </w:r>
          </w:p>
        </w:tc>
        <w:tc>
          <w:tcPr/>
          <w:p>
            <w:pPr>
              <w:pStyle w:val="Compact"/>
            </w:pPr>
            <w:r>
              <w:t xml:space="preserve">PICS_DOOROPEN</w:t>
            </w:r>
          </w:p>
        </w:tc>
      </w:tr>
      <w:tr>
        <w:tc>
          <w:tcPr/>
          <w:p>
            <w:pPr>
              <w:pStyle w:val="Compact"/>
            </w:pPr>
            <w:r>
              <w:t xml:space="preserve">Module parameters for other parameters</w:t>
            </w:r>
          </w:p>
        </w:tc>
        <w:tc>
          <w:tcPr/>
          <w:p>
            <w:pPr>
              <w:pStyle w:val="Compact"/>
            </w:pPr>
            <w:r>
              <w:t xml:space="preserve">Use all upper case letters</w:t>
            </w:r>
          </w:p>
        </w:tc>
        <w:tc>
          <w:tcPr/>
          <w:p>
            <w:pPr>
              <w:pStyle w:val="Compact"/>
            </w:pPr>
            <w:r>
              <w:t xml:space="preserve">PX_</w:t>
            </w:r>
          </w:p>
        </w:tc>
        <w:tc>
          <w:tcPr/>
          <w:p>
            <w:pPr>
              <w:pStyle w:val="Compact"/>
            </w:pPr>
            <w:r>
              <w:t xml:space="preserve">PX_TESTER_STATION_ID</w:t>
            </w:r>
          </w:p>
        </w:tc>
      </w:tr>
      <w:tr>
        <w:tc>
          <w:tcPr/>
          <w:p>
            <w:pPr>
              <w:pStyle w:val="Compact"/>
            </w:pPr>
            <w:r>
              <w:t xml:space="preserve">Formal Parameters</w:t>
            </w:r>
          </w:p>
        </w:tc>
        <w:tc>
          <w:tcPr/>
          <w:p>
            <w:pPr>
              <w:pStyle w:val="Compact"/>
            </w:pPr>
            <w:r>
              <w:t xml:space="preserve">Use lower-case initial letter</w:t>
            </w:r>
          </w:p>
        </w:tc>
        <w:tc>
          <w:tcPr/>
          <w:p>
            <w:pPr>
              <w:pStyle w:val="Compact"/>
            </w:pPr>
            <w:r>
              <w:t xml:space="preserve">p_</w:t>
            </w:r>
          </w:p>
        </w:tc>
        <w:tc>
          <w:tcPr/>
          <w:p>
            <w:pPr>
              <w:pStyle w:val="Compact"/>
            </w:pPr>
            <w:r>
              <w:t xml:space="preserve">p_macId</w:t>
            </w:r>
          </w:p>
        </w:tc>
      </w:tr>
      <w:tr>
        <w:tc>
          <w:tcPr/>
          <w:p>
            <w:pPr>
              <w:pStyle w:val="Compact"/>
            </w:pPr>
            <w:r>
              <w:t xml:space="preserve">Enumerated Values</w:t>
            </w:r>
          </w:p>
        </w:tc>
        <w:tc>
          <w:tcPr/>
          <w:p>
            <w:pPr>
              <w:pStyle w:val="Compact"/>
            </w:pPr>
            <w:r>
              <w:t xml:space="preserve">Use lower-case initial letter</w:t>
            </w:r>
          </w:p>
        </w:tc>
        <w:tc>
          <w:tcPr/>
          <w:p>
            <w:pPr>
              <w:pStyle w:val="Compact"/>
            </w:pPr>
            <w:r>
              <w:t xml:space="preserve">e_</w:t>
            </w:r>
          </w:p>
        </w:tc>
        <w:tc>
          <w:tcPr/>
          <w:p>
            <w:pPr>
              <w:pStyle w:val="Compact"/>
            </w:pPr>
            <w:r>
              <w:t xml:space="preserve">e_syncOk</w:t>
            </w:r>
          </w:p>
        </w:tc>
      </w:tr>
    </w:tbl>
    <w:bookmarkEnd w:id="84"/>
    <w:bookmarkStart w:id="85" w:name="X2d18a39c723c96da909a480c09fbee3e59d0b0e"/>
    <w:p>
      <w:pPr>
        <w:pStyle w:val="Heading3"/>
      </w:pPr>
      <w:r>
        <w:t xml:space="preserve">7.2.2 oneM2M specific TTCN-3 naming conventions</w:t>
      </w:r>
    </w:p>
    <w:p>
      <w:pPr>
        <w:pStyle w:val="FirstParagraph"/>
      </w:pPr>
      <w:r>
        <w:t xml:space="preserve">Next to such general naming conventions, table 7.2.2-1 shows specific naming conventions that apply to the oneM2M TTCN-3 ATS.</w:t>
      </w:r>
    </w:p>
    <w:p>
      <w:pPr>
        <w:pStyle w:val="TableCaption"/>
      </w:pPr>
      <w:r>
        <w:t xml:space="preserve">Table 7.2.2-1: oneM2M specific TTCN-3 naming conventions</w:t>
      </w:r>
    </w:p>
    <w:tbl>
      <w:tblPr>
        <w:tblStyle w:val="Table"/>
        <w:tblW w:type="pct" w:w="5000"/>
        <w:tblLayout w:type="fixed"/>
        <w:tblLook w:firstRow="1" w:lastRow="0" w:firstColumn="0" w:lastColumn="0" w:noHBand="0" w:noVBand="0" w:val="0020"/>
        <w:tblCaption w:val="Table 7.2.2-1: oneM2M specific TTCN-3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oneM2M Module</w:t>
            </w:r>
          </w:p>
        </w:tc>
        <w:tc>
          <w:tcPr/>
          <w:p>
            <w:pPr>
              <w:pStyle w:val="Compact"/>
            </w:pPr>
            <w:r>
              <w:t xml:space="preserve">Use upper-case initial letter</w:t>
            </w:r>
          </w:p>
        </w:tc>
        <w:tc>
          <w:tcPr/>
          <w:p>
            <w:pPr>
              <w:pStyle w:val="Compact"/>
            </w:pPr>
            <w:r>
              <w:t xml:space="preserve">OneM2M_</w:t>
            </w:r>
          </w:p>
        </w:tc>
        <w:tc>
          <w:tcPr/>
          <w:p>
            <w:pPr>
              <w:pStyle w:val="Compact"/>
            </w:pPr>
            <w:r>
              <w:t xml:space="preserve">OneM2M_Testcases_</w:t>
            </w:r>
          </w:p>
        </w:tc>
      </w:tr>
      <w:tr>
        <w:tc>
          <w:tcPr/>
          <w:p>
            <w:pPr>
              <w:pStyle w:val="Compact"/>
            </w:pPr>
            <w:r>
              <w:t xml:space="preserve">Module containing oneM2M types</w:t>
            </w:r>
          </w:p>
        </w:tc>
        <w:tc>
          <w:tcPr/>
          <w:p>
            <w:pPr>
              <w:pStyle w:val="Compact"/>
            </w:pPr>
            <w:r>
              <w:t xml:space="preserve">Use upper-case initial letter</w:t>
            </w:r>
          </w:p>
        </w:tc>
        <w:tc>
          <w:tcPr/>
          <w:p>
            <w:pPr>
              <w:pStyle w:val="Compact"/>
            </w:pPr>
            <w:r>
              <w:t xml:space="preserve">OneM2M_Types</w:t>
            </w:r>
          </w:p>
        </w:tc>
        <w:tc>
          <w:tcPr/>
          <w:p>
            <w:pPr>
              <w:pStyle w:val="Compact"/>
            </w:pPr>
            <w:r>
              <w:t xml:space="preserve">OneM2M_Types</w:t>
            </w:r>
          </w:p>
        </w:tc>
      </w:tr>
      <w:tr>
        <w:tc>
          <w:tcPr/>
          <w:p>
            <w:pPr>
              <w:pStyle w:val="Compact"/>
            </w:pPr>
            <w:r>
              <w:t xml:space="preserve">Module containing types and values</w:t>
            </w:r>
          </w:p>
        </w:tc>
        <w:tc>
          <w:tcPr/>
          <w:p>
            <w:pPr>
              <w:pStyle w:val="Compact"/>
            </w:pPr>
            <w:r>
              <w:t xml:space="preserve">Use upper-case initial letter</w:t>
            </w:r>
          </w:p>
        </w:tc>
        <w:tc>
          <w:tcPr/>
          <w:p>
            <w:pPr>
              <w:pStyle w:val="Compact"/>
            </w:pPr>
            <w:r>
              <w:t xml:space="preserve">OneM2M_TypesAndValues</w:t>
            </w:r>
          </w:p>
        </w:tc>
        <w:tc>
          <w:tcPr/>
          <w:p>
            <w:pPr>
              <w:pStyle w:val="Compact"/>
            </w:pPr>
            <w:r>
              <w:t xml:space="preserve">OneM2M_TypesAndValues</w:t>
            </w:r>
          </w:p>
        </w:tc>
      </w:tr>
      <w:tr>
        <w:tc>
          <w:tcPr/>
          <w:p>
            <w:pPr>
              <w:pStyle w:val="Compact"/>
            </w:pPr>
            <w:r>
              <w:t xml:space="preserve">Module containing Templates</w:t>
            </w:r>
          </w:p>
        </w:tc>
        <w:tc>
          <w:tcPr/>
          <w:p>
            <w:pPr>
              <w:pStyle w:val="Compact"/>
            </w:pPr>
            <w:r>
              <w:t xml:space="preserve">Use upper-case initial letter</w:t>
            </w:r>
          </w:p>
        </w:tc>
        <w:tc>
          <w:tcPr/>
          <w:p>
            <w:pPr>
              <w:pStyle w:val="Compact"/>
            </w:pPr>
            <w:r>
              <w:t xml:space="preserve">OneM2M_Templates</w:t>
            </w:r>
          </w:p>
        </w:tc>
        <w:tc>
          <w:tcPr/>
          <w:p>
            <w:pPr>
              <w:pStyle w:val="Compact"/>
            </w:pPr>
            <w:r>
              <w:t xml:space="preserve">OneM2M_Templates</w:t>
            </w:r>
          </w:p>
        </w:tc>
      </w:tr>
      <w:tr>
        <w:tc>
          <w:tcPr/>
          <w:p>
            <w:pPr>
              <w:pStyle w:val="Compact"/>
            </w:pPr>
            <w:r>
              <w:t xml:space="preserve">Module containing test cases</w:t>
            </w:r>
          </w:p>
        </w:tc>
        <w:tc>
          <w:tcPr/>
          <w:p>
            <w:pPr>
              <w:pStyle w:val="Compact"/>
            </w:pPr>
            <w:r>
              <w:t xml:space="preserve">Use upper-case initial letter</w:t>
            </w:r>
          </w:p>
        </w:tc>
        <w:tc>
          <w:tcPr/>
          <w:p>
            <w:pPr>
              <w:pStyle w:val="Compact"/>
            </w:pPr>
            <w:r>
              <w:t xml:space="preserve">OneM2M_Testcases</w:t>
            </w:r>
          </w:p>
        </w:tc>
        <w:tc>
          <w:tcPr/>
          <w:p>
            <w:pPr>
              <w:pStyle w:val="Compact"/>
            </w:pPr>
            <w:r>
              <w:t xml:space="preserve">OneM2M_Testcases</w:t>
            </w:r>
          </w:p>
        </w:tc>
      </w:tr>
      <w:tr>
        <w:tc>
          <w:tcPr/>
          <w:p>
            <w:pPr>
              <w:pStyle w:val="Compact"/>
            </w:pPr>
            <w:r>
              <w:t xml:space="preserve">Module containing functions</w:t>
            </w:r>
          </w:p>
        </w:tc>
        <w:tc>
          <w:tcPr/>
          <w:p>
            <w:pPr>
              <w:pStyle w:val="Compact"/>
            </w:pPr>
            <w:r>
              <w:t xml:space="preserve">Use upper-case initial letter</w:t>
            </w:r>
          </w:p>
        </w:tc>
        <w:tc>
          <w:tcPr/>
          <w:p>
            <w:pPr>
              <w:pStyle w:val="Compact"/>
            </w:pPr>
            <w:r>
              <w:t xml:space="preserve">OneM2M_Functions</w:t>
            </w:r>
          </w:p>
        </w:tc>
        <w:tc>
          <w:tcPr/>
          <w:p>
            <w:pPr>
              <w:pStyle w:val="Compact"/>
            </w:pPr>
            <w:r>
              <w:t xml:space="preserve">OneM2M_Functions</w:t>
            </w:r>
          </w:p>
        </w:tc>
      </w:tr>
      <w:tr>
        <w:tc>
          <w:tcPr/>
          <w:p>
            <w:pPr>
              <w:pStyle w:val="Compact"/>
            </w:pPr>
            <w:r>
              <w:t xml:space="preserve">Module containing external functions</w:t>
            </w:r>
          </w:p>
        </w:tc>
        <w:tc>
          <w:tcPr/>
          <w:p>
            <w:pPr>
              <w:pStyle w:val="Compact"/>
            </w:pPr>
            <w:r>
              <w:t xml:space="preserve">Use upper-case initial letter</w:t>
            </w:r>
          </w:p>
        </w:tc>
        <w:tc>
          <w:tcPr/>
          <w:p>
            <w:pPr>
              <w:pStyle w:val="Compact"/>
            </w:pPr>
            <w:r>
              <w:t xml:space="preserve">OneM2M_ExternalFunctions</w:t>
            </w:r>
          </w:p>
        </w:tc>
        <w:tc>
          <w:tcPr/>
          <w:p>
            <w:pPr>
              <w:pStyle w:val="Compact"/>
            </w:pPr>
            <w:r>
              <w:t xml:space="preserve">OneM2M_ExternalFunctions</w:t>
            </w:r>
          </w:p>
        </w:tc>
      </w:tr>
      <w:tr>
        <w:tc>
          <w:tcPr/>
          <w:p>
            <w:pPr>
              <w:pStyle w:val="Compact"/>
            </w:pPr>
            <w:r>
              <w:t xml:space="preserve">Module containing components, ports and message definitions</w:t>
            </w:r>
          </w:p>
        </w:tc>
        <w:tc>
          <w:tcPr/>
          <w:p>
            <w:pPr>
              <w:pStyle w:val="Compact"/>
            </w:pPr>
            <w:r>
              <w:t xml:space="preserve">Use upper-case initial letter</w:t>
            </w:r>
          </w:p>
        </w:tc>
        <w:tc>
          <w:tcPr/>
          <w:p>
            <w:pPr>
              <w:pStyle w:val="Compact"/>
            </w:pPr>
            <w:r>
              <w:t xml:space="preserve">OneM2M_TestSystem</w:t>
            </w:r>
          </w:p>
        </w:tc>
        <w:tc>
          <w:tcPr/>
          <w:p>
            <w:pPr>
              <w:pStyle w:val="Compact"/>
            </w:pPr>
            <w:r>
              <w:t xml:space="preserve">OneM2M_TestSystem</w:t>
            </w:r>
          </w:p>
        </w:tc>
      </w:tr>
      <w:tr>
        <w:tc>
          <w:tcPr/>
          <w:p>
            <w:pPr>
              <w:pStyle w:val="Compact"/>
            </w:pPr>
            <w:r>
              <w:t xml:space="preserve">Module containing module parameters</w:t>
            </w:r>
          </w:p>
        </w:tc>
        <w:tc>
          <w:tcPr/>
          <w:p>
            <w:pPr>
              <w:pStyle w:val="Compact"/>
            </w:pPr>
            <w:r>
              <w:t xml:space="preserve">Use upper-case initial letter</w:t>
            </w:r>
          </w:p>
        </w:tc>
        <w:tc>
          <w:tcPr/>
          <w:p>
            <w:pPr>
              <w:pStyle w:val="Compact"/>
            </w:pPr>
            <w:r>
              <w:t xml:space="preserve">OneM2M_Pixits</w:t>
            </w:r>
          </w:p>
        </w:tc>
        <w:tc>
          <w:tcPr/>
          <w:p>
            <w:pPr>
              <w:pStyle w:val="Compact"/>
            </w:pPr>
            <w:r>
              <w:t xml:space="preserve">OneM2M_Pixits</w:t>
            </w:r>
          </w:p>
        </w:tc>
      </w:tr>
    </w:tbl>
    <w:bookmarkEnd w:id="85"/>
    <w:bookmarkStart w:id="86" w:name="usage-of-log-statements"/>
    <w:p>
      <w:pPr>
        <w:pStyle w:val="Heading3"/>
      </w:pPr>
      <w:r>
        <w:t xml:space="preserve">7.2.3 Usage of Log statements</w:t>
      </w:r>
    </w:p>
    <w:p>
      <w:pPr>
        <w:pStyle w:val="FirstParagraph"/>
      </w:pPr>
      <w:r>
        <w:t xml:space="preserve">All TTCN-3 log statements use the following format using the same order:</w:t>
      </w:r>
    </w:p>
    <w:p>
      <w:pPr>
        <w:pStyle w:val="Compact"/>
        <w:numPr>
          <w:ilvl w:val="0"/>
          <w:numId w:val="1026"/>
        </w:numPr>
      </w:pPr>
      <w:r>
        <w:t xml:space="preserve">The TTCN-3 test case or function identifier in which the log statement is defined.</w:t>
      </w:r>
    </w:p>
    <w:p>
      <w:pPr>
        <w:pStyle w:val="Compact"/>
        <w:numPr>
          <w:ilvl w:val="0"/>
          <w:numId w:val="1026"/>
        </w:numPr>
      </w:pPr>
      <w:r>
        <w:t xml:space="preserve">One of the categories of log: INFO, WARNING, ERROR, TIMEOUT, NONE.</w:t>
      </w:r>
    </w:p>
    <w:p>
      <w:pPr>
        <w:pStyle w:val="Compact"/>
        <w:numPr>
          <w:ilvl w:val="0"/>
          <w:numId w:val="1026"/>
        </w:numPr>
      </w:pPr>
      <w:r>
        <w:t xml:space="preserve">Free text.</w:t>
      </w:r>
    </w:p>
    <w:p>
      <w:pPr>
        <w:pStyle w:val="FirstParagraph"/>
      </w:pPr>
      <w:r>
        <w:rPr>
          <w:rStyle w:val="VerbatimChar"/>
        </w:rPr>
        <w:t xml:space="preserve">EXAMPLE 1:    **log** ("f\_utInitializeIut: INFO: IUT initialized");</w:t>
      </w:r>
    </w:p>
    <w:p>
      <w:pPr>
        <w:pStyle w:val="BodyText"/>
      </w:pPr>
      <w:r>
        <w:t xml:space="preserve">Furthermore, the following rules are applied too:</w:t>
      </w:r>
    </w:p>
    <w:p>
      <w:pPr>
        <w:pStyle w:val="Compact"/>
        <w:numPr>
          <w:ilvl w:val="0"/>
          <w:numId w:val="1027"/>
        </w:numPr>
      </w:pPr>
      <w:r>
        <w:t xml:space="preserve">All TTCN-3 setverdict statements are combined (as defined in TTCN-3 - ETSI ES 201 873-1</w:t>
      </w:r>
      <w:r>
        <w:t xml:space="preserve"> </w:t>
      </w:r>
      <w:r>
        <w:t xml:space="preserve">[6]</w:t>
      </w:r>
      <w:r>
        <w:t xml:space="preserve">) with a log statement following the same above rules (see example 2).</w:t>
      </w:r>
    </w:p>
    <w:p>
      <w:pPr>
        <w:pStyle w:val="FirstParagraph"/>
      </w:pPr>
      <w:r>
        <w:rPr>
          <w:rStyle w:val="VerbatimChar"/>
        </w:rPr>
        <w:t xml:space="preserve">EXAMPLE 2:    **setverdict** (**pass** , "TC\_ONEM2M\_CSE\_DMR\_CRE\_001: Received correct message");</w:t>
      </w:r>
    </w:p>
    <w:bookmarkEnd w:id="86"/>
    <w:bookmarkStart w:id="87" w:name="test-case-tc-identifier"/>
    <w:p>
      <w:pPr>
        <w:pStyle w:val="Heading3"/>
      </w:pPr>
      <w:r>
        <w:t xml:space="preserve">7.2.4 Test Case (TC) identifier</w:t>
      </w:r>
    </w:p>
    <w:p>
      <w:pPr>
        <w:pStyle w:val="TableCaption"/>
      </w:pPr>
      <w:r>
        <w:t xml:space="preserve">Table 7.2.4-1: TC naming convention</w:t>
      </w:r>
    </w:p>
    <w:tbl>
      <w:tblPr>
        <w:tblStyle w:val="Table"/>
        <w:tblW w:type="pct" w:w="4948"/>
        <w:tblLayout w:type="fixed"/>
        <w:tblLook w:firstRow="1" w:lastRow="0" w:firstColumn="0" w:lastColumn="0" w:noHBand="0" w:noVBand="0" w:val="0020"/>
        <w:tblCaption w:val="Table 7.2.4-1: TC naming convention"/>
      </w:tblPr>
      <w:tblGrid>
        <w:gridCol w:w="2367"/>
        <w:gridCol w:w="1388"/>
        <w:gridCol w:w="4082"/>
      </w:tblGrid>
      <w:tr>
        <w:trPr>
          <w:tblHeader w:val="on"/>
        </w:trPr>
        <w:tc>
          <w:tcPr>
            <w:gridSpan w:val="3"/>
          </w:tcPr>
          <w:p>
            <w:pPr>
              <w:pStyle w:val="Compact"/>
              <w:jc w:val="left"/>
            </w:pPr>
            <w:r>
              <w:t xml:space="preserve">Identifier: TC_&lt;root&gt;_&lt;gr&gt;_&lt;sgr&gt;_&lt;nn&gt;_&lt;per&gt;</w:t>
            </w:r>
          </w:p>
        </w:tc>
      </w:tr>
      <w:tr>
        <w:tc>
          <w:tcPr/>
          <w:p>
            <w:pPr>
              <w:pStyle w:val="Compact"/>
              <w:jc w:val="left"/>
            </w:pPr>
            <w:r>
              <w:t xml:space="preserve">&lt;root&gt; = root</w:t>
            </w:r>
          </w:p>
        </w:tc>
        <w:tc>
          <w:tcPr/>
          <w:p>
            <w:pPr>
              <w:pStyle w:val="Compact"/>
              <w:jc w:val="left"/>
            </w:pPr>
            <w:r>
              <w:t xml:space="preserve">ONEM2M</w:t>
            </w:r>
          </w:p>
        </w:tc>
        <w:tc>
          <w:tcPr/>
          <w:p>
            <w:pPr>
              <w:pStyle w:val="Compact"/>
              <w:jc w:val="left"/>
            </w:pPr>
            <w:r>
              <w:t xml:space="preserve">oneM2M</w:t>
            </w:r>
          </w:p>
        </w:tc>
      </w:tr>
      <w:tr>
        <w:tc>
          <w:tcPr/>
          <w:p>
            <w:pPr>
              <w:pStyle w:val="Compact"/>
              <w:jc w:val="left"/>
            </w:pPr>
            <w:r>
              <w:t xml:space="preserve">&lt;gr&gt; = group</w:t>
            </w:r>
          </w:p>
        </w:tc>
        <w:tc>
          <w:tcPr/>
          <w:p>
            <w:pPr>
              <w:pStyle w:val="Compact"/>
              <w:jc w:val="left"/>
            </w:pPr>
            <w:r>
              <w:t xml:space="preserve">CSE</w:t>
            </w:r>
            <w:r>
              <w:br/>
            </w:r>
            <w:r>
              <w:t xml:space="preserve">AE</w:t>
            </w:r>
          </w:p>
        </w:tc>
        <w:tc>
          <w:tcPr/>
          <w:p>
            <w:pPr>
              <w:pStyle w:val="Compact"/>
              <w:jc w:val="left"/>
            </w:pPr>
            <w:r>
              <w:t xml:space="preserve">CSE testing</w:t>
            </w:r>
            <w:r>
              <w:br/>
            </w:r>
            <w:r>
              <w:t xml:space="preserve">AE testing</w:t>
            </w:r>
          </w:p>
        </w:tc>
      </w:tr>
      <w:tr>
        <w:tc>
          <w:tcPr/>
          <w:p>
            <w:pPr>
              <w:pStyle w:val="Compact"/>
              <w:jc w:val="left"/>
            </w:pPr>
            <w:r>
              <w:t xml:space="preserve">&lt;sgr&gt; = subgroup</w:t>
            </w:r>
          </w:p>
        </w:tc>
        <w:tc>
          <w:tcPr/>
          <w:p>
            <w:pPr>
              <w:pStyle w:val="Compact"/>
              <w:jc w:val="left"/>
            </w:pPr>
            <w:r>
              <w:t xml:space="preserve">REG</w:t>
            </w:r>
            <w:r>
              <w:br/>
            </w:r>
            <w:r>
              <w:t xml:space="preserve">DMR</w:t>
            </w:r>
            <w:r>
              <w:br/>
            </w:r>
            <w:r>
              <w:t xml:space="preserve">SUB</w:t>
            </w:r>
            <w:r>
              <w:br/>
            </w:r>
            <w:r>
              <w:t xml:space="preserve">GMG</w:t>
            </w:r>
            <w:r>
              <w:br/>
            </w:r>
            <w:r>
              <w:t xml:space="preserve">DIS</w:t>
            </w:r>
            <w:r>
              <w:br/>
            </w:r>
            <w:r>
              <w:t xml:space="preserve">LOC</w:t>
            </w:r>
            <w:r>
              <w:br/>
            </w:r>
            <w:r>
              <w:t xml:space="preserve">DMG</w:t>
            </w:r>
            <w:r>
              <w:br/>
            </w:r>
            <w:r>
              <w:t xml:space="preserve">CMDH</w:t>
            </w:r>
            <w:r>
              <w:br/>
            </w:r>
            <w:r>
              <w:t xml:space="preserve">SEC</w:t>
            </w:r>
          </w:p>
        </w:tc>
        <w:tc>
          <w:tcPr/>
          <w:p>
            <w:pPr>
              <w:pStyle w:val="Compact"/>
              <w:jc w:val="left"/>
            </w:pPr>
            <w:r>
              <w:t xml:space="preserve">Registration</w:t>
            </w:r>
            <w:r>
              <w:br/>
            </w:r>
            <w:r>
              <w:t xml:space="preserve">Data Management and Repository</w:t>
            </w:r>
            <w:r>
              <w:br/>
            </w:r>
            <w:r>
              <w:t xml:space="preserve">Subscription and Notification</w:t>
            </w:r>
            <w:r>
              <w:br/>
            </w:r>
            <w:r>
              <w:t xml:space="preserve">Group Management</w:t>
            </w:r>
            <w:r>
              <w:br/>
            </w:r>
            <w:r>
              <w:t xml:space="preserve">Discovery</w:t>
            </w:r>
            <w:r>
              <w:br/>
            </w:r>
            <w:r>
              <w:t xml:space="preserve">Location</w:t>
            </w:r>
            <w:r>
              <w:br/>
            </w:r>
            <w:r>
              <w:t xml:space="preserve">Device Management</w:t>
            </w:r>
            <w:r>
              <w:br/>
            </w:r>
            <w:r>
              <w:t xml:space="preserve">Communication Management and Delivery Handling</w:t>
            </w:r>
            <w:r>
              <w:br/>
            </w:r>
            <w:r>
              <w:t xml:space="preserve">Security</w:t>
            </w:r>
          </w:p>
        </w:tc>
      </w:tr>
      <w:tr>
        <w:tc>
          <w:tcPr/>
          <w:p>
            <w:pPr>
              <w:pStyle w:val="Compact"/>
              <w:jc w:val="left"/>
            </w:pPr>
            <w:r>
              <w:t xml:space="preserve">&lt;nn&gt; = sequential number</w:t>
            </w:r>
          </w:p>
        </w:tc>
        <w:tc>
          <w:tcPr/>
          <w:p>
            <w:pPr>
              <w:pStyle w:val="Compact"/>
            </w:pPr>
          </w:p>
        </w:tc>
        <w:tc>
          <w:tcPr/>
          <w:p>
            <w:pPr>
              <w:pStyle w:val="Compact"/>
              <w:jc w:val="left"/>
            </w:pPr>
            <w:r>
              <w:t xml:space="preserve">001 to 999</w:t>
            </w:r>
          </w:p>
        </w:tc>
      </w:tr>
      <w:tr>
        <w:tc>
          <w:tcPr/>
          <w:p>
            <w:pPr>
              <w:pStyle w:val="Compact"/>
              <w:jc w:val="left"/>
            </w:pPr>
            <w:r>
              <w:t xml:space="preserve">&lt;per&gt; = permutation</w:t>
            </w:r>
          </w:p>
        </w:tc>
        <w:tc>
          <w:tcPr/>
          <w:p>
            <w:pPr>
              <w:pStyle w:val="Compact"/>
              <w:jc w:val="left"/>
            </w:pPr>
            <w:r>
              <w:t xml:space="preserve">P1_P2_..PN</w:t>
            </w:r>
          </w:p>
        </w:tc>
        <w:tc>
          <w:tcPr/>
          <w:p>
            <w:pPr>
              <w:pStyle w:val="Compact"/>
              <w:jc w:val="left"/>
            </w:pPr>
            <w:r>
              <w:t xml:space="preserve">Permutation parameters</w:t>
            </w:r>
          </w:p>
        </w:tc>
      </w:tr>
      <w:tr>
        <w:tc>
          <w:tcPr>
            <w:gridSpan w:val="3"/>
          </w:tcPr>
          <w:p>
            <w:pPr>
              <w:pStyle w:val="Compact"/>
              <w:jc w:val="left"/>
            </w:pPr>
            <w:r>
              <w:rPr>
                <w:rStyle w:val="VerbatimChar"/>
              </w:rPr>
              <w:t xml:space="preserve">EXAMPLE:    TP identifier:    TP/oneM2M/CSE/DMR/CRE/001</w:t>
            </w:r>
            <w:r>
              <w:br/>
            </w:r>
            <w:r>
              <w:rPr>
                <w:rStyle w:val="VerbatimChar"/>
              </w:rPr>
              <w:t xml:space="preserve">TC identifier:    TC\_ONEM2M\_CSE\_DMR\_CRE\_001.</w:t>
            </w:r>
          </w:p>
        </w:tc>
      </w:tr>
    </w:tbl>
    <w:bookmarkEnd w:id="87"/>
    <w:bookmarkEnd w:id="88"/>
    <w:bookmarkStart w:id="89" w:name="ixit"/>
    <w:p>
      <w:pPr>
        <w:pStyle w:val="Heading2"/>
      </w:pPr>
      <w:r>
        <w:t xml:space="preserve">7.3 IXIT</w:t>
      </w:r>
    </w:p>
    <w:p>
      <w:pPr>
        <w:pStyle w:val="FirstParagraph"/>
      </w:pPr>
      <w:r>
        <w:t xml:space="preserve">The following parameters are used by the oneM2M ATS for the correct execution of the test cases.</w:t>
      </w:r>
    </w:p>
    <w:p>
      <w:pPr>
        <w:pStyle w:val="TableCaption"/>
      </w:pPr>
      <w:r>
        <w:t xml:space="preserve">Table 7.3-1: oneM2M ATS IXITs</w:t>
      </w:r>
    </w:p>
    <w:tbl>
      <w:tblPr>
        <w:tblStyle w:val="Table"/>
        <w:tblW w:type="pct" w:w="5000"/>
        <w:tblLayout w:type="fixed"/>
        <w:tblLook w:firstRow="1" w:lastRow="0" w:firstColumn="0" w:lastColumn="0" w:noHBand="0" w:noVBand="0" w:val="0020"/>
        <w:tblCaption w:val="Table 7.3-1: oneM2M ATS IXITs"/>
      </w:tblPr>
      <w:tblGrid>
        <w:gridCol w:w="1980"/>
        <w:gridCol w:w="1980"/>
        <w:gridCol w:w="1980"/>
        <w:gridCol w:w="1980"/>
      </w:tblGrid>
      <w:tr>
        <w:trPr>
          <w:tblHeader w:val="on"/>
        </w:trPr>
        <w:tc>
          <w:tcPr/>
          <w:p>
            <w:pPr>
              <w:pStyle w:val="Compact"/>
            </w:pPr>
            <w:r>
              <w:t xml:space="preserve">GROUP</w:t>
            </w:r>
          </w:p>
        </w:tc>
        <w:tc>
          <w:tcPr/>
          <w:p>
            <w:pPr>
              <w:pStyle w:val="Compact"/>
            </w:pPr>
            <w:r>
              <w:t xml:space="preserve">IXIT NAME</w:t>
            </w:r>
          </w:p>
        </w:tc>
        <w:tc>
          <w:tcPr/>
          <w:p>
            <w:pPr>
              <w:pStyle w:val="Compact"/>
            </w:pPr>
            <w:r>
              <w:t xml:space="preserve">DESCRIPTION</w:t>
            </w:r>
          </w:p>
        </w:tc>
        <w:tc>
          <w:tcPr/>
          <w:p>
            <w:pPr>
              <w:pStyle w:val="Compact"/>
            </w:pPr>
            <w:r>
              <w:t xml:space="preserve">DEFAULT VALUE</w:t>
            </w:r>
          </w:p>
        </w:tc>
      </w:tr>
      <w:tr>
        <w:tc>
          <w:tcPr/>
          <w:p>
            <w:pPr>
              <w:pStyle w:val="Compact"/>
            </w:pPr>
            <w:r>
              <w:t xml:space="preserve">IutParameters</w:t>
            </w:r>
          </w:p>
        </w:tc>
        <w:tc>
          <w:tcPr/>
          <w:p>
            <w:pPr>
              <w:pStyle w:val="Compact"/>
            </w:pPr>
            <w:r>
              <w:t xml:space="preserve">PX_IN_CSE</w:t>
            </w:r>
          </w:p>
        </w:tc>
        <w:tc>
          <w:tcPr/>
          <w:p>
            <w:pPr>
              <w:pStyle w:val="Compact"/>
            </w:pPr>
            <w:r>
              <w:t xml:space="preserve">MN-CSE</w:t>
            </w:r>
          </w:p>
        </w:tc>
        <w:tc>
          <w:tcPr/>
          <w:p>
            <w:pPr>
              <w:pStyle w:val="Compact"/>
            </w:pPr>
            <w:r>
              <w:t xml:space="preserve">true</w:t>
            </w:r>
          </w:p>
        </w:tc>
      </w:tr>
      <w:tr>
        <w:tc>
          <w:tcPr/>
          <w:p>
            <w:pPr>
              <w:pStyle w:val="Compact"/>
            </w:pPr>
            <w:r>
              <w:t xml:space="preserve">IutParameters</w:t>
            </w:r>
          </w:p>
        </w:tc>
        <w:tc>
          <w:tcPr/>
          <w:p>
            <w:pPr>
              <w:pStyle w:val="Compact"/>
            </w:pPr>
            <w:r>
              <w:t xml:space="preserve">PX_MN_CSE</w:t>
            </w:r>
          </w:p>
        </w:tc>
        <w:tc>
          <w:tcPr/>
          <w:p>
            <w:pPr>
              <w:pStyle w:val="Compact"/>
            </w:pPr>
            <w:r>
              <w:t xml:space="preserve">IN-CSE</w:t>
            </w:r>
          </w:p>
        </w:tc>
        <w:tc>
          <w:tcPr/>
          <w:p>
            <w:pPr>
              <w:pStyle w:val="Compact"/>
            </w:pPr>
            <w:r>
              <w:t xml:space="preserve">false</w:t>
            </w:r>
          </w:p>
        </w:tc>
      </w:tr>
      <w:tr>
        <w:tc>
          <w:tcPr/>
          <w:p>
            <w:pPr>
              <w:pStyle w:val="Compact"/>
            </w:pPr>
            <w:r>
              <w:t xml:space="preserve">IutParameters</w:t>
            </w:r>
          </w:p>
        </w:tc>
        <w:tc>
          <w:tcPr/>
          <w:p>
            <w:pPr>
              <w:pStyle w:val="Compact"/>
            </w:pPr>
            <w:r>
              <w:t xml:space="preserve">PX_ASN_CSE</w:t>
            </w:r>
          </w:p>
        </w:tc>
        <w:tc>
          <w:tcPr/>
          <w:p>
            <w:pPr>
              <w:pStyle w:val="Compact"/>
            </w:pPr>
            <w:r>
              <w:t xml:space="preserve">ASN-CSE</w:t>
            </w:r>
          </w:p>
        </w:tc>
        <w:tc>
          <w:tcPr/>
          <w:p>
            <w:pPr>
              <w:pStyle w:val="Compact"/>
            </w:pPr>
            <w:r>
              <w:t xml:space="preserve">false</w:t>
            </w:r>
          </w:p>
        </w:tc>
      </w:tr>
      <w:tr>
        <w:tc>
          <w:tcPr/>
          <w:p>
            <w:pPr>
              <w:pStyle w:val="Compact"/>
            </w:pPr>
            <w:r>
              <w:t xml:space="preserve">IutParameters</w:t>
            </w:r>
          </w:p>
        </w:tc>
        <w:tc>
          <w:tcPr/>
          <w:p>
            <w:pPr>
              <w:pStyle w:val="Compact"/>
            </w:pPr>
            <w:r>
              <w:t xml:space="preserve">PX_SUT_ADDRESS</w:t>
            </w:r>
          </w:p>
        </w:tc>
        <w:tc>
          <w:tcPr/>
          <w:p>
            <w:pPr>
              <w:pStyle w:val="Compact"/>
            </w:pPr>
            <w:r>
              <w:t xml:space="preserve">SUT address</w:t>
            </w:r>
          </w:p>
        </w:tc>
        <w:tc>
          <w:tcPr/>
          <w:p>
            <w:pPr>
              <w:pStyle w:val="Compact"/>
            </w:pPr>
            <w:r>
              <w:t xml:space="preserve">“127.0.0.1:8080”</w:t>
            </w:r>
          </w:p>
        </w:tc>
      </w:tr>
      <w:tr>
        <w:tc>
          <w:tcPr/>
          <w:p>
            <w:pPr>
              <w:pStyle w:val="Compact"/>
            </w:pPr>
            <w:r>
              <w:t xml:space="preserve">IutParameters</w:t>
            </w:r>
          </w:p>
        </w:tc>
        <w:tc>
          <w:tcPr/>
          <w:p>
            <w:pPr>
              <w:pStyle w:val="Compact"/>
            </w:pPr>
            <w:r>
              <w:t xml:space="preserve">PX_UT_IMPLEMENTED</w:t>
            </w:r>
          </w:p>
        </w:tc>
        <w:tc>
          <w:tcPr/>
          <w:p>
            <w:pPr>
              <w:pStyle w:val="Compact"/>
            </w:pPr>
            <w:r>
              <w:t xml:space="preserve">Upper Tester implemented</w:t>
            </w:r>
          </w:p>
        </w:tc>
        <w:tc>
          <w:tcPr/>
          <w:p>
            <w:pPr>
              <w:pStyle w:val="Compact"/>
            </w:pPr>
            <w:r>
              <w:t xml:space="preserve">false</w:t>
            </w:r>
          </w:p>
        </w:tc>
      </w:tr>
      <w:tr>
        <w:tc>
          <w:tcPr/>
          <w:p>
            <w:pPr>
              <w:pStyle w:val="Compact"/>
            </w:pPr>
            <w:r>
              <w:t xml:space="preserve">IutParameters</w:t>
            </w:r>
          </w:p>
        </w:tc>
        <w:tc>
          <w:tcPr/>
          <w:p>
            <w:pPr>
              <w:pStyle w:val="Compact"/>
            </w:pPr>
            <w:r>
              <w:t xml:space="preserve">PX_CSE_NAME</w:t>
            </w:r>
          </w:p>
        </w:tc>
        <w:tc>
          <w:tcPr/>
          <w:p>
            <w:pPr>
              <w:pStyle w:val="Compact"/>
            </w:pPr>
            <w:r>
              <w:t xml:space="preserve">IUT CSE Name</w:t>
            </w:r>
          </w:p>
        </w:tc>
        <w:tc>
          <w:tcPr/>
          <w:p>
            <w:pPr>
              <w:pStyle w:val="Compact"/>
            </w:pPr>
            <w:r>
              <w:t xml:space="preserve">“cseName”</w:t>
            </w:r>
          </w:p>
        </w:tc>
      </w:tr>
      <w:tr>
        <w:tc>
          <w:tcPr/>
          <w:p>
            <w:pPr>
              <w:pStyle w:val="Compact"/>
            </w:pPr>
            <w:r>
              <w:t xml:space="preserve">IutParameters</w:t>
            </w:r>
          </w:p>
        </w:tc>
        <w:tc>
          <w:tcPr/>
          <w:p>
            <w:pPr>
              <w:pStyle w:val="Compact"/>
            </w:pPr>
            <w:r>
              <w:t xml:space="preserve">PX_CSE_ID</w:t>
            </w:r>
          </w:p>
        </w:tc>
        <w:tc>
          <w:tcPr/>
          <w:p>
            <w:pPr>
              <w:pStyle w:val="Compact"/>
            </w:pPr>
            <w:r>
              <w:t xml:space="preserve">IUT CSE-ID with SP-relative-CSE-ID format (relative) according to oneM2M TS-0001</w:t>
            </w:r>
            <w:r>
              <w:t xml:space="preserve"> </w:t>
            </w:r>
            <w:r>
              <w:t xml:space="preserve">[1]</w:t>
            </w:r>
            <w:r>
              <w:t xml:space="preserve">, table 7.2-1</w:t>
            </w:r>
          </w:p>
        </w:tc>
        <w:tc>
          <w:tcPr/>
          <w:p>
            <w:pPr>
              <w:pStyle w:val="Compact"/>
            </w:pPr>
            <w:r>
              <w:t xml:space="preserve">“/cseId”</w:t>
            </w:r>
          </w:p>
        </w:tc>
      </w:tr>
      <w:tr>
        <w:tc>
          <w:tcPr/>
          <w:p>
            <w:pPr>
              <w:pStyle w:val="Compact"/>
            </w:pPr>
            <w:r>
              <w:t xml:space="preserve">IutParameters</w:t>
            </w:r>
          </w:p>
        </w:tc>
        <w:tc>
          <w:tcPr/>
          <w:p>
            <w:pPr>
              <w:pStyle w:val="Compact"/>
            </w:pPr>
            <w:r>
              <w:t xml:space="preserve">PX_CSE_RESOURCE_ID</w:t>
            </w:r>
          </w:p>
        </w:tc>
        <w:tc>
          <w:tcPr/>
          <w:p>
            <w:pPr>
              <w:pStyle w:val="Compact"/>
            </w:pPr>
            <w:r>
              <w:t xml:space="preserve">IUT CSE resource ID with Unstructured-CSE-relative-Resource-ID (relative) format according to oneM2M</w:t>
            </w:r>
            <w:r>
              <w:br/>
            </w:r>
            <w:r>
              <w:t xml:space="preserve">TS-0001</w:t>
            </w:r>
            <w:r>
              <w:t xml:space="preserve"> </w:t>
            </w:r>
            <w:r>
              <w:t xml:space="preserve">[1]</w:t>
            </w:r>
            <w:r>
              <w:t xml:space="preserve">, table 7.2-1</w:t>
            </w:r>
          </w:p>
        </w:tc>
        <w:tc>
          <w:tcPr/>
          <w:p>
            <w:pPr>
              <w:pStyle w:val="Compact"/>
            </w:pPr>
            <w:r>
              <w:t xml:space="preserve">“cseResourceId”</w:t>
            </w:r>
          </w:p>
        </w:tc>
      </w:tr>
      <w:tr>
        <w:tc>
          <w:tcPr/>
          <w:p>
            <w:pPr>
              <w:pStyle w:val="Compact"/>
            </w:pPr>
            <w:r>
              <w:t xml:space="preserve">IutParameters</w:t>
            </w:r>
          </w:p>
        </w:tc>
        <w:tc>
          <w:tcPr/>
          <w:p>
            <w:pPr>
              <w:pStyle w:val="Compact"/>
            </w:pPr>
            <w:r>
              <w:t xml:space="preserve">PX_SP_ID</w:t>
            </w:r>
          </w:p>
        </w:tc>
        <w:tc>
          <w:tcPr/>
          <w:p>
            <w:pPr>
              <w:pStyle w:val="Compact"/>
            </w:pPr>
            <w:r>
              <w:t xml:space="preserve">IUT M2M-SP-ID with M2M-SP-ID format (absolute) according to oneM2M TS-0001</w:t>
            </w:r>
            <w:r>
              <w:t xml:space="preserve"> </w:t>
            </w:r>
            <w:r>
              <w:t xml:space="preserve">[1]</w:t>
            </w:r>
            <w:r>
              <w:t xml:space="preserve">, table 7.2-1 Unstructured-CSE-relative -Resource-ID</w:t>
            </w:r>
          </w:p>
        </w:tc>
        <w:tc>
          <w:tcPr/>
          <w:p>
            <w:pPr>
              <w:pStyle w:val="Compact"/>
            </w:pPr>
            <w:r>
              <w:t xml:space="preserve">“//om2m.org”</w:t>
            </w:r>
          </w:p>
        </w:tc>
      </w:tr>
      <w:tr>
        <w:tc>
          <w:tcPr/>
          <w:p>
            <w:pPr>
              <w:pStyle w:val="Compact"/>
            </w:pPr>
            <w:r>
              <w:t xml:space="preserve">IutParameters</w:t>
            </w:r>
          </w:p>
        </w:tc>
        <w:tc>
          <w:tcPr/>
          <w:p>
            <w:pPr>
              <w:pStyle w:val="Compact"/>
            </w:pPr>
            <w:r>
              <w:t xml:space="preserve">PX_SUPER_AE_ID</w:t>
            </w:r>
          </w:p>
        </w:tc>
        <w:tc>
          <w:tcPr/>
          <w:p>
            <w:pPr>
              <w:pStyle w:val="Compact"/>
            </w:pPr>
            <w:r>
              <w:t xml:space="preserve">AE-ID with privileges to CREATE at the IUT CSEBase with AE-ID-Stem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PX_SUPER_CSE_ID</w:t>
            </w:r>
          </w:p>
        </w:tc>
        <w:tc>
          <w:tcPr/>
          <w:p>
            <w:pPr>
              <w:pStyle w:val="Compact"/>
            </w:pPr>
            <w:r>
              <w:t xml:space="preserve">CSE-ID with privileges to CREATE at the IUT CSEBase with SPrelative-CSE-ID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PX_ALLOWED_C_AE_IDS</w:t>
            </w:r>
          </w:p>
        </w:tc>
        <w:tc>
          <w:tcPr/>
          <w:p>
            <w:pPr>
              <w:pStyle w:val="Compact"/>
            </w:pPr>
          </w:p>
        </w:tc>
        <w:tc>
          <w:tcPr/>
          <w:p>
            <w:pPr>
              <w:pStyle w:val="Compact"/>
            </w:pPr>
            <w:r>
              <w:t xml:space="preserve">{</w:t>
            </w:r>
            <w:r>
              <w:t xml:space="preserve">“C-AllowedAeId”</w:t>
            </w:r>
            <w:r>
              <w:t xml:space="preserve">}</w:t>
            </w:r>
          </w:p>
        </w:tc>
      </w:tr>
      <w:tr>
        <w:tc>
          <w:tcPr/>
          <w:p>
            <w:pPr>
              <w:pStyle w:val="Compact"/>
            </w:pPr>
            <w:r>
              <w:t xml:space="preserve">IutParameters</w:t>
            </w:r>
          </w:p>
        </w:tc>
        <w:tc>
          <w:tcPr/>
          <w:p>
            <w:pPr>
              <w:pStyle w:val="Compact"/>
            </w:pPr>
            <w:r>
              <w:t xml:space="preserve">PX_NOT_ALLOWED_C_AE_IDS</w:t>
            </w:r>
          </w:p>
        </w:tc>
        <w:tc>
          <w:tcPr/>
          <w:p>
            <w:pPr>
              <w:pStyle w:val="Compact"/>
            </w:pPr>
          </w:p>
        </w:tc>
        <w:tc>
          <w:tcPr/>
          <w:p>
            <w:pPr>
              <w:pStyle w:val="Compact"/>
            </w:pPr>
            <w:r>
              <w:t xml:space="preserve">{</w:t>
            </w:r>
            <w:r>
              <w:t xml:space="preserve">“C-NotAllowedAeId”</w:t>
            </w:r>
            <w:r>
              <w:t xml:space="preserve">}</w:t>
            </w:r>
          </w:p>
        </w:tc>
      </w:tr>
      <w:tr>
        <w:tc>
          <w:tcPr/>
          <w:p>
            <w:pPr>
              <w:pStyle w:val="Compact"/>
            </w:pPr>
            <w:r>
              <w:t xml:space="preserve">IutParameters</w:t>
            </w:r>
          </w:p>
        </w:tc>
        <w:tc>
          <w:tcPr/>
          <w:p>
            <w:pPr>
              <w:pStyle w:val="Compact"/>
            </w:pPr>
            <w:r>
              <w:t xml:space="preserve">PX_ALLOWED_S_AE_IDS</w:t>
            </w:r>
          </w:p>
        </w:tc>
        <w:tc>
          <w:tcPr/>
          <w:p>
            <w:pPr>
              <w:pStyle w:val="Compact"/>
            </w:pPr>
          </w:p>
        </w:tc>
        <w:tc>
          <w:tcPr/>
          <w:p>
            <w:pPr>
              <w:pStyle w:val="Compact"/>
            </w:pPr>
            <w:r>
              <w:t xml:space="preserve">{</w:t>
            </w:r>
            <w:r>
              <w:t xml:space="preserve">“S-AllowedAeId”</w:t>
            </w:r>
            <w:r>
              <w:t xml:space="preserve">}</w:t>
            </w:r>
          </w:p>
        </w:tc>
      </w:tr>
      <w:tr>
        <w:tc>
          <w:tcPr/>
          <w:p>
            <w:pPr>
              <w:pStyle w:val="Compact"/>
            </w:pPr>
            <w:r>
              <w:t xml:space="preserve">IutParameters</w:t>
            </w:r>
          </w:p>
        </w:tc>
        <w:tc>
          <w:tcPr/>
          <w:p>
            <w:pPr>
              <w:pStyle w:val="Compact"/>
            </w:pPr>
            <w:r>
              <w:t xml:space="preserve">PX_NOT_ALLOWED_S_AE_IDS</w:t>
            </w:r>
          </w:p>
        </w:tc>
        <w:tc>
          <w:tcPr/>
          <w:p>
            <w:pPr>
              <w:pStyle w:val="Compact"/>
            </w:pPr>
          </w:p>
        </w:tc>
        <w:tc>
          <w:tcPr/>
          <w:p>
            <w:pPr>
              <w:pStyle w:val="Compact"/>
            </w:pPr>
            <w:r>
              <w:t xml:space="preserve">{</w:t>
            </w:r>
            <w:r>
              <w:t xml:space="preserve">“S-NotAllowedAeId”</w:t>
            </w:r>
            <w:r>
              <w:t xml:space="preserve">}</w:t>
            </w:r>
          </w:p>
        </w:tc>
      </w:tr>
      <w:tr>
        <w:tc>
          <w:tcPr/>
          <w:p>
            <w:pPr>
              <w:pStyle w:val="Compact"/>
            </w:pPr>
            <w:r>
              <w:t xml:space="preserve">IutParameters</w:t>
            </w:r>
          </w:p>
        </w:tc>
        <w:tc>
          <w:tcPr/>
          <w:p>
            <w:pPr>
              <w:pStyle w:val="Compact"/>
            </w:pPr>
            <w:r>
              <w:t xml:space="preserve">PX_NOT_ALLOWED_APP_ID</w:t>
            </w:r>
          </w:p>
        </w:tc>
        <w:tc>
          <w:tcPr/>
          <w:p>
            <w:pPr>
              <w:pStyle w:val="Compact"/>
            </w:pPr>
          </w:p>
        </w:tc>
        <w:tc>
          <w:tcPr/>
          <w:p>
            <w:pPr>
              <w:pStyle w:val="Compact"/>
            </w:pPr>
            <w:r>
              <w:t xml:space="preserve">“NotAllowedAppId”</w:t>
            </w:r>
          </w:p>
        </w:tc>
      </w:tr>
      <w:tr>
        <w:tc>
          <w:tcPr/>
          <w:p>
            <w:pPr>
              <w:pStyle w:val="Compact"/>
            </w:pPr>
            <w:r>
              <w:t xml:space="preserve">IutParameters</w:t>
            </w:r>
          </w:p>
        </w:tc>
        <w:tc>
          <w:tcPr/>
          <w:p>
            <w:pPr>
              <w:pStyle w:val="Compact"/>
            </w:pPr>
            <w:r>
              <w:t xml:space="preserve">PX_ADDRESSING_METHOD</w:t>
            </w:r>
          </w:p>
        </w:tc>
        <w:tc>
          <w:tcPr/>
          <w:p>
            <w:pPr>
              <w:pStyle w:val="Compact"/>
            </w:pPr>
            <w:r>
              <w:t xml:space="preserve">Addressing method</w:t>
            </w:r>
          </w:p>
        </w:tc>
        <w:tc>
          <w:tcPr/>
          <w:p>
            <w:pPr>
              <w:pStyle w:val="Compact"/>
            </w:pPr>
            <w:r>
              <w:t xml:space="preserve">e_hierarchical</w:t>
            </w:r>
          </w:p>
        </w:tc>
      </w:tr>
      <w:tr>
        <w:tc>
          <w:tcPr/>
          <w:p>
            <w:pPr>
              <w:pStyle w:val="Compact"/>
            </w:pPr>
            <w:r>
              <w:t xml:space="preserve">IutParameters</w:t>
            </w:r>
          </w:p>
        </w:tc>
        <w:tc>
          <w:tcPr/>
          <w:p>
            <w:pPr>
              <w:pStyle w:val="Compact"/>
            </w:pPr>
            <w:r>
              <w:t xml:space="preserve">PX_PRIMITIVE_SCOPE</w:t>
            </w:r>
          </w:p>
        </w:tc>
        <w:tc>
          <w:tcPr/>
          <w:p>
            <w:pPr>
              <w:pStyle w:val="Compact"/>
            </w:pPr>
            <w:r>
              <w:t xml:space="preserve">Primitive scope</w:t>
            </w:r>
          </w:p>
        </w:tc>
        <w:tc>
          <w:tcPr/>
          <w:p>
            <w:pPr>
              <w:pStyle w:val="Compact"/>
            </w:pPr>
            <w:r>
              <w:t xml:space="preserve">e_cseRelative</w:t>
            </w:r>
          </w:p>
        </w:tc>
      </w:tr>
      <w:tr>
        <w:tc>
          <w:tcPr/>
          <w:p>
            <w:pPr>
              <w:pStyle w:val="Compact"/>
            </w:pPr>
            <w:r>
              <w:t xml:space="preserve">IutParameters</w:t>
            </w:r>
          </w:p>
        </w:tc>
        <w:tc>
          <w:tcPr/>
          <w:p>
            <w:pPr>
              <w:pStyle w:val="Compact"/>
            </w:pPr>
            <w:r>
              <w:t xml:space="preserve">PX_WS_PROTOCOL</w:t>
            </w:r>
          </w:p>
        </w:tc>
        <w:tc>
          <w:tcPr/>
          <w:p>
            <w:pPr>
              <w:pStyle w:val="Compact"/>
            </w:pPr>
            <w:r>
              <w:t xml:space="preserve">WebSocket protocol</w:t>
            </w:r>
          </w:p>
        </w:tc>
        <w:tc>
          <w:tcPr/>
          <w:p>
            <w:pPr>
              <w:pStyle w:val="Compact"/>
            </w:pPr>
            <w:r>
              <w:t xml:space="preserve">“oneM2M.R2.0.xml”</w:t>
            </w:r>
          </w:p>
        </w:tc>
      </w:tr>
      <w:tr>
        <w:tc>
          <w:tcPr/>
          <w:p>
            <w:pPr>
              <w:pStyle w:val="Compact"/>
            </w:pPr>
            <w:r>
              <w:t xml:space="preserve">IutParameters</w:t>
            </w:r>
          </w:p>
        </w:tc>
        <w:tc>
          <w:tcPr/>
          <w:p>
            <w:pPr>
              <w:pStyle w:val="Compact"/>
            </w:pPr>
            <w:r>
              <w:t xml:space="preserve">PX_REQUEST_URI</w:t>
            </w:r>
          </w:p>
        </w:tc>
        <w:tc>
          <w:tcPr/>
          <w:p>
            <w:pPr>
              <w:pStyle w:val="Compact"/>
            </w:pPr>
            <w:r>
              <w:t xml:space="preserve">WebSocket context</w:t>
            </w:r>
          </w:p>
        </w:tc>
        <w:tc>
          <w:tcPr/>
          <w:p>
            <w:pPr>
              <w:pStyle w:val="Compact"/>
            </w:pPr>
            <w:r>
              <w:t xml:space="preserve">“/”</w:t>
            </w:r>
          </w:p>
        </w:tc>
      </w:tr>
      <w:tr>
        <w:tc>
          <w:tcPr/>
          <w:p>
            <w:pPr>
              <w:pStyle w:val="Compact"/>
            </w:pPr>
            <w:r>
              <w:t xml:space="preserve">IutParameters</w:t>
            </w:r>
          </w:p>
        </w:tc>
        <w:tc>
          <w:tcPr/>
          <w:p>
            <w:pPr>
              <w:pStyle w:val="Compact"/>
            </w:pPr>
            <w:r>
              <w:t xml:space="preserve">PX_HOSTING_CSE_ID</w:t>
            </w:r>
          </w:p>
        </w:tc>
        <w:tc>
          <w:tcPr/>
          <w:p>
            <w:pPr>
              <w:pStyle w:val="Compact"/>
            </w:pPr>
            <w:r>
              <w:t xml:space="preserve">Hosting CSE-ID for MQTT</w:t>
            </w:r>
          </w:p>
        </w:tc>
        <w:tc>
          <w:tcPr/>
          <w:p>
            <w:pPr>
              <w:pStyle w:val="Compact"/>
            </w:pPr>
            <w:r>
              <w:t xml:space="preserve">“CSE-ID”</w:t>
            </w:r>
          </w:p>
        </w:tc>
      </w:tr>
      <w:tr>
        <w:tc>
          <w:tcPr/>
          <w:p>
            <w:pPr>
              <w:pStyle w:val="Compact"/>
            </w:pPr>
            <w:r>
              <w:t xml:space="preserve">IutParameters</w:t>
            </w:r>
          </w:p>
        </w:tc>
        <w:tc>
          <w:tcPr/>
          <w:p>
            <w:pPr>
              <w:pStyle w:val="Compact"/>
            </w:pPr>
            <w:r>
              <w:t xml:space="preserve">PX_CREDENTIAL_ID</w:t>
            </w:r>
          </w:p>
        </w:tc>
        <w:tc>
          <w:tcPr/>
          <w:p>
            <w:pPr>
              <w:pStyle w:val="Compact"/>
            </w:pPr>
            <w:r>
              <w:t xml:space="preserve">Credential-ID for MQTT</w:t>
            </w:r>
          </w:p>
        </w:tc>
        <w:tc>
          <w:tcPr/>
          <w:p>
            <w:pPr>
              <w:pStyle w:val="Compact"/>
            </w:pPr>
            <w:r>
              <w:t xml:space="preserve">“admin:admin”</w:t>
            </w:r>
          </w:p>
        </w:tc>
      </w:tr>
      <w:tr>
        <w:tc>
          <w:tcPr/>
          <w:p>
            <w:pPr>
              <w:pStyle w:val="Compact"/>
            </w:pPr>
            <w:r>
              <w:t xml:space="preserve">IutParameters</w:t>
            </w:r>
          </w:p>
        </w:tc>
        <w:tc>
          <w:tcPr/>
          <w:p>
            <w:pPr>
              <w:pStyle w:val="Compact"/>
            </w:pPr>
            <w:r>
              <w:t xml:space="preserve">PX_XML_NAMESPACE</w:t>
            </w:r>
          </w:p>
        </w:tc>
        <w:tc>
          <w:tcPr/>
          <w:p>
            <w:pPr>
              <w:pStyle w:val="Compact"/>
            </w:pPr>
            <w:r>
              <w:t xml:space="preserve">XML Namespace</w:t>
            </w:r>
          </w:p>
        </w:tc>
        <w:tc>
          <w:tcPr/>
          <w:p>
            <w:pPr>
              <w:pStyle w:val="Compact"/>
            </w:pPr>
            <w:r>
              <w:t xml:space="preserve">“m2m=”</w:t>
            </w:r>
            <w:r>
              <w:t xml:space="preserve">“http://www.onem2m.org/xml/protocols”</w:t>
            </w:r>
            <w:r>
              <w:t xml:space="preserve">“”</w:t>
            </w:r>
          </w:p>
        </w:tc>
      </w:tr>
      <w:tr>
        <w:tc>
          <w:tcPr/>
          <w:p>
            <w:pPr>
              <w:pStyle w:val="Compact"/>
            </w:pPr>
            <w:r>
              <w:t xml:space="preserve">IutParameters</w:t>
            </w:r>
          </w:p>
        </w:tc>
        <w:tc>
          <w:tcPr/>
          <w:p>
            <w:pPr>
              <w:pStyle w:val="Compact"/>
            </w:pPr>
            <w:r>
              <w:t xml:space="preserve">PX_ACOR</w:t>
            </w:r>
          </w:p>
        </w:tc>
        <w:tc>
          <w:tcPr/>
          <w:p>
            <w:pPr>
              <w:pStyle w:val="Compact"/>
            </w:pPr>
            <w:r>
              <w:t xml:space="preserve">AccessControlOriginators</w:t>
            </w:r>
          </w:p>
        </w:tc>
        <w:tc>
          <w:tcPr/>
          <w:p>
            <w:pPr>
              <w:pStyle w:val="Compact"/>
            </w:pPr>
            <w:r>
              <w:t xml:space="preserve">{</w:t>
            </w:r>
            <w:r>
              <w:t xml:space="preserve">“all”</w:t>
            </w:r>
            <w:r>
              <w:t xml:space="preserve">}</w:t>
            </w:r>
          </w:p>
        </w:tc>
      </w:tr>
      <w:tr>
        <w:tc>
          <w:tcPr/>
          <w:p>
            <w:pPr>
              <w:pStyle w:val="Compact"/>
            </w:pPr>
            <w:r>
              <w:t xml:space="preserve">IutParameters</w:t>
            </w:r>
          </w:p>
        </w:tc>
        <w:tc>
          <w:tcPr/>
          <w:p>
            <w:pPr>
              <w:pStyle w:val="Compact"/>
            </w:pPr>
            <w:r>
              <w:t xml:space="preserve">PX_TCONFIG_IUT</w:t>
            </w:r>
          </w:p>
        </w:tc>
        <w:tc>
          <w:tcPr/>
          <w:p>
            <w:pPr>
              <w:pStyle w:val="Compact"/>
            </w:pPr>
            <w:r>
              <w:t xml:space="preserve">Time to configure IUT after a requested action</w:t>
            </w:r>
          </w:p>
        </w:tc>
        <w:tc>
          <w:tcPr/>
          <w:p>
            <w:pPr>
              <w:pStyle w:val="Compact"/>
            </w:pPr>
            <w:r>
              <w:t xml:space="preserve">10.0</w:t>
            </w:r>
          </w:p>
        </w:tc>
      </w:tr>
      <w:tr>
        <w:tc>
          <w:tcPr/>
          <w:p>
            <w:pPr>
              <w:pStyle w:val="Compact"/>
            </w:pPr>
            <w:r>
              <w:t xml:space="preserve">TesterParameters</w:t>
            </w:r>
          </w:p>
        </w:tc>
        <w:tc>
          <w:tcPr/>
          <w:p>
            <w:pPr>
              <w:pStyle w:val="Compact"/>
            </w:pPr>
            <w:r>
              <w:t xml:space="preserve">PX_TS_AE1</w:t>
            </w:r>
          </w:p>
        </w:tc>
        <w:tc>
          <w:tcPr/>
          <w:p>
            <w:pPr>
              <w:pStyle w:val="Compact"/>
            </w:pPr>
            <w:r>
              <w:t xml:space="preserve">AE1 component settings</w:t>
            </w:r>
          </w:p>
        </w:tc>
        <w:tc>
          <w:tcPr/>
          <w:p>
            <w:pPr>
              <w:pStyle w:val="Compact"/>
            </w:pPr>
            <w:r>
              <w:t xml:space="preserve">aeIdStem = “</w:t>
            </w:r>
            <w:r>
              <w:t xml:space="preserve">“</w:t>
            </w:r>
            <w:r>
              <w:br/>
            </w:r>
            <w:r>
              <w:t xml:space="preserve">appId =”</w:t>
            </w:r>
            <w:r>
              <w:t xml:space="preserve">NMyApp1Id”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PX_TS_AE2</w:t>
            </w:r>
          </w:p>
        </w:tc>
        <w:tc>
          <w:tcPr/>
          <w:p>
            <w:pPr>
              <w:pStyle w:val="Compact"/>
            </w:pPr>
            <w:r>
              <w:t xml:space="preserve">AE2 component settings</w:t>
            </w:r>
          </w:p>
        </w:tc>
        <w:tc>
          <w:tcPr/>
          <w:p>
            <w:pPr>
              <w:pStyle w:val="Compact"/>
            </w:pPr>
            <w:r>
              <w:t xml:space="preserve">aeIdStem = “</w:t>
            </w:r>
            <w:r>
              <w:t xml:space="preserve">“</w:t>
            </w:r>
            <w:r>
              <w:br/>
            </w:r>
            <w:r>
              <w:t xml:space="preserve">appId =”</w:t>
            </w:r>
            <w:r>
              <w:t xml:space="preserve">NMyApp2Id”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PX_TS_CSE1</w:t>
            </w:r>
          </w:p>
        </w:tc>
        <w:tc>
          <w:tcPr/>
          <w:p>
            <w:pPr>
              <w:pStyle w:val="Compact"/>
            </w:pPr>
            <w:r>
              <w:t xml:space="preserve">CSE1 component settings</w:t>
            </w:r>
          </w:p>
        </w:tc>
        <w:tc>
          <w:tcPr/>
          <w:p>
            <w:pPr>
              <w:pStyle w:val="Compact"/>
            </w:pPr>
            <w:r>
              <w:t xml:space="preserve">cseName =</w:t>
            </w:r>
            <w:r>
              <w:t xml:space="preserve"> </w:t>
            </w:r>
            <w:r>
              <w:t xml:space="preserve">“CSE1_NAME”</w:t>
            </w:r>
            <w:r>
              <w:br/>
            </w:r>
            <w:r>
              <w:t xml:space="preserve">cseId =</w:t>
            </w:r>
            <w:r>
              <w:t xml:space="preserve"> </w:t>
            </w:r>
            <w:r>
              <w:t xml:space="preserve">“/CSE1_ID”</w:t>
            </w:r>
            <w:r>
              <w:br/>
            </w:r>
            <w:r>
              <w:t xml:space="preserve">cseResourceId =</w:t>
            </w:r>
            <w:r>
              <w:t xml:space="preserve"> </w:t>
            </w:r>
            <w:r>
              <w:t xml:space="preserve">“CSE1_RESOURCE_ID”</w:t>
            </w:r>
            <w:r>
              <w:br/>
            </w:r>
            <w:r>
              <w:t xml:space="preserve">spId =</w:t>
            </w:r>
            <w:r>
              <w:t xml:space="preserve"> </w:t>
            </w:r>
            <w:r>
              <w:t xml:space="preserve">“//onem2m.org”</w:t>
            </w:r>
            <w:r>
              <w:br/>
            </w:r>
            <w:r>
              <w:t xml:space="preserve">supportedResourceType = {int1, int2, int3, int16}</w:t>
            </w:r>
            <w:r>
              <w:br/>
            </w:r>
            <w:r>
              <w:t xml:space="preserve">mcaPort, mcaPortIn, mccPort and mccPortIn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p>
        </w:tc>
        <w:tc>
          <w:tcPr/>
          <w:p>
            <w:pPr>
              <w:pStyle w:val="Compact"/>
            </w:pPr>
            <w:r>
              <w:t xml:space="preserve">PX_TS_UT</w:t>
            </w:r>
          </w:p>
        </w:tc>
        <w:tc>
          <w:tcPr/>
          <w:p>
            <w:pPr>
              <w:pStyle w:val="Compact"/>
            </w:pPr>
            <w:r>
              <w:t xml:space="preserve">UpperTester settings</w:t>
            </w:r>
          </w:p>
        </w:tc>
        <w:tc>
          <w:tcPr/>
          <w:p>
            <w:pPr>
              <w:pStyle w:val="Compact"/>
            </w:pPr>
            <w:r>
              <w:t xml:space="preserve">url =</w:t>
            </w:r>
            <w:r>
              <w:t xml:space="preserve"> </w:t>
            </w:r>
            <w:r>
              <w:t xml:space="preserve">“http://127.0.0.1:43000/”</w:t>
            </w:r>
          </w:p>
        </w:tc>
      </w:tr>
      <w:tr>
        <w:tc>
          <w:tcPr/>
          <w:p>
            <w:pPr>
              <w:pStyle w:val="Compact"/>
            </w:pPr>
            <w:r>
              <w:t xml:space="preserve">ExecutionParameters</w:t>
            </w:r>
          </w:p>
        </w:tc>
        <w:tc>
          <w:tcPr/>
          <w:p>
            <w:pPr>
              <w:pStyle w:val="Compact"/>
            </w:pPr>
            <w:r>
              <w:t xml:space="preserve">PX_RESOURCES_TO_BE_DELETED</w:t>
            </w:r>
          </w:p>
        </w:tc>
        <w:tc>
          <w:tcPr/>
          <w:p>
            <w:pPr>
              <w:pStyle w:val="Compact"/>
            </w:pPr>
            <w:r>
              <w:t xml:space="preserve">(For debugging purposes)</w:t>
            </w:r>
          </w:p>
        </w:tc>
        <w:tc>
          <w:tcPr/>
          <w:p>
            <w:pPr>
              <w:pStyle w:val="Compact"/>
            </w:pPr>
            <w:r>
              <w:t xml:space="preserve">{</w:t>
            </w:r>
            <w:r>
              <w:t xml:space="preserve">“MyAe”</w:t>
            </w:r>
            <w:r>
              <w:t xml:space="preserve">,</w:t>
            </w:r>
            <w:r>
              <w:t xml:space="preserve"> </w:t>
            </w:r>
            <w:r>
              <w:t xml:space="preserve">“MyAccessControlPolicyResource”</w:t>
            </w:r>
            <w:r>
              <w:t xml:space="preserve">,</w:t>
            </w:r>
            <w:r>
              <w:t xml:space="preserve"> </w:t>
            </w:r>
            <w:r>
              <w:t xml:space="preserve">“SubscriptionVerificationAcp”</w:t>
            </w:r>
            <w:r>
              <w:t xml:space="preserve">,</w:t>
            </w:r>
            <w:r>
              <w:t xml:space="preserve"> </w:t>
            </w:r>
            <w:r>
              <w:t xml:space="preserve">“MyAcp”</w:t>
            </w:r>
            <w:r>
              <w:t xml:space="preserve">,</w:t>
            </w:r>
            <w:r>
              <w:t xml:space="preserve"> </w:t>
            </w:r>
            <w:r>
              <w:t xml:space="preserve">“MyRemoteCSEResource”</w:t>
            </w:r>
            <w:r>
              <w:t xml:space="preserve">}</w:t>
            </w:r>
          </w:p>
        </w:tc>
      </w:tr>
      <w:tr>
        <w:tc>
          <w:tcPr/>
          <w:p>
            <w:pPr>
              <w:pStyle w:val="Compact"/>
            </w:pPr>
            <w:r>
              <w:t xml:space="preserve">ExecutionParameters</w:t>
            </w:r>
          </w:p>
        </w:tc>
        <w:tc>
          <w:tcPr/>
          <w:p>
            <w:pPr>
              <w:pStyle w:val="Compact"/>
            </w:pPr>
            <w:r>
              <w:t xml:space="preserve">PX_RUN_POSTAMBLE</w:t>
            </w:r>
          </w:p>
        </w:tc>
        <w:tc>
          <w:tcPr/>
          <w:p>
            <w:pPr>
              <w:pStyle w:val="Compact"/>
            </w:pPr>
            <w:r>
              <w:t xml:space="preserve">(For debugging purposes)</w:t>
            </w:r>
          </w:p>
        </w:tc>
        <w:tc>
          <w:tcPr/>
          <w:p>
            <w:pPr>
              <w:pStyle w:val="Compact"/>
            </w:pPr>
            <w:r>
              <w:t xml:space="preserve">true</w:t>
            </w:r>
          </w:p>
        </w:tc>
      </w:tr>
    </w:tbl>
    <w:bookmarkEnd w:id="89"/>
    <w:bookmarkEnd w:id="90"/>
    <w:bookmarkStart w:id="91" w:name="ttcn-3-verifications"/>
    <w:p>
      <w:pPr>
        <w:pStyle w:val="Heading1"/>
      </w:pPr>
      <w:r>
        <w:t xml:space="preserve">8 TTCN-3 Verifications</w:t>
      </w:r>
    </w:p>
    <w:p>
      <w:pPr>
        <w:pStyle w:val="FirstParagraph"/>
      </w:pPr>
      <w:r>
        <w:t xml:space="preserve">The principles for Verifying the TTCN-3 test code are given in oneM2M TS-0015</w:t>
      </w:r>
      <w:r>
        <w:t xml:space="preserve"> </w:t>
      </w:r>
      <w:r>
        <w:t xml:space="preserve">[i.2]</w:t>
      </w:r>
      <w:r>
        <w:t xml:space="preserve">.</w:t>
      </w:r>
    </w:p>
    <w:p>
      <w:pPr>
        <w:pStyle w:val="BodyText"/>
      </w:pPr>
      <w:r>
        <w:t xml:space="preserve">All test cases provided with the present document in annex A which correspond to at least one of the product profiles defined in oneM2M TS-0025</w:t>
      </w:r>
      <w:r>
        <w:t xml:space="preserve"> </w:t>
      </w:r>
      <w:r>
        <w:t xml:space="preserve">[i.3]</w:t>
      </w:r>
      <w:r>
        <w:t xml:space="preserve"> </w:t>
      </w:r>
      <w:r>
        <w:t xml:space="preserve">have been verified at the time of publication of the present document which corresponds with the TTCN-3 code gitlab tag provided in annex A.</w:t>
      </w:r>
    </w:p>
    <w:bookmarkEnd w:id="91"/>
    <w:bookmarkStart w:id="94" w:name="annex-a-normative-ttcn-3-library-modules"/>
    <w:p>
      <w:pPr>
        <w:pStyle w:val="Heading1"/>
      </w:pPr>
      <w:r>
        <w:t xml:space="preserve">Annex A (normative): TTCN-3 library modules</w:t>
      </w:r>
    </w:p>
    <w:bookmarkStart w:id="93" w:name="X0cd3108841cdfd9edfba872c940aa31b301ea79"/>
    <w:p>
      <w:pPr>
        <w:pStyle w:val="Heading2"/>
      </w:pPr>
      <w:r>
        <w:t xml:space="preserve">A.1 Electronic annex, zip file with TTCN-3 code</w:t>
      </w:r>
    </w:p>
    <w:p>
      <w:pPr>
        <w:pStyle w:val="FirstParagraph"/>
      </w:pPr>
      <w:r>
        <w:t xml:space="preserve">This ATS has been produced using the Testing and Test Control Notation (TTCN) according to ETSI ES 201 873-1</w:t>
      </w:r>
      <w:r>
        <w:t xml:space="preserve"> </w:t>
      </w:r>
      <w:r>
        <w:t xml:space="preserve">[6]</w:t>
      </w:r>
      <w:r>
        <w:t xml:space="preserve">.</w:t>
      </w:r>
    </w:p>
    <w:p>
      <w:pPr>
        <w:pStyle w:val="BodyText"/>
      </w:pPr>
      <w:r>
        <w:t xml:space="preserve">This test suite has been compiled error-free using two different commercial TTCN-3 compilers.</w:t>
      </w:r>
    </w:p>
    <w:p>
      <w:pPr>
        <w:pStyle w:val="BodyText"/>
      </w:pPr>
      <w:r>
        <w:t xml:space="preserve">The TTCN-3 library modules, which form parts of the present document, are contained in the following gitLab tag:</w:t>
      </w:r>
    </w:p>
    <w:p>
      <w:pPr>
        <w:pStyle w:val="BodyText"/>
      </w:pPr>
      <w:hyperlink r:id="rId92">
        <w:r>
          <w:rPr>
            <w:rStyle w:val="Hyperlink"/>
          </w:rPr>
          <w:t xml:space="preserve">https://git.onem2m.org/TST/ATS/-/tags/TS-0019-baseline-v2_9_2</w:t>
        </w:r>
      </w:hyperlink>
      <w:r>
        <w:br/>
      </w:r>
    </w:p>
    <w:bookmarkEnd w:id="93"/>
    <w:bookmarkEnd w:id="94"/>
    <w:bookmarkStart w:id="95" w:name="annex-b-informative-bibliography"/>
    <w:p>
      <w:pPr>
        <w:pStyle w:val="Heading1"/>
      </w:pPr>
      <w:r>
        <w:t xml:space="preserve">Annex B (informative): Bibliography</w:t>
      </w:r>
    </w:p>
    <w:p>
      <w:pPr>
        <w:pStyle w:val="FirstParagraph"/>
      </w:pPr>
      <w:r>
        <w:t xml:space="preserve">ISO/IEC 9646-6 (1994):</w:t>
      </w:r>
      <w:r>
        <w:t xml:space="preserve"> </w:t>
      </w:r>
      <w:r>
        <w:t xml:space="preserve">“Information technology - Open Systems Interconnection - Conformance testing methodology and framework - Part 6: Protocol profile test specification”</w:t>
      </w:r>
      <w:r>
        <w:t xml:space="preserve">.</w:t>
      </w:r>
    </w:p>
    <w:p>
      <w:pPr>
        <w:pStyle w:val="BodyText"/>
      </w:pPr>
      <w:r>
        <w:t xml:space="preserve">oneM2M TS-0017:</w:t>
      </w:r>
      <w:r>
        <w:t xml:space="preserve"> </w:t>
      </w:r>
      <w:r>
        <w:t xml:space="preserve">“Implementation Conformance Statement”</w:t>
      </w:r>
      <w:r>
        <w:t xml:space="preserve">.</w:t>
      </w:r>
    </w:p>
    <w:p>
      <w:pPr>
        <w:pStyle w:val="BodyText"/>
      </w:pPr>
      <w:r>
        <w:t xml:space="preserve">oneM2M TS-0031:</w:t>
      </w:r>
      <w:r>
        <w:t xml:space="preserve"> </w:t>
      </w:r>
      <w:r>
        <w:t xml:space="preserve">“Feature catalogue”</w:t>
      </w:r>
      <w:r>
        <w:t xml:space="preserve">.</w:t>
      </w:r>
    </w:p>
    <w:bookmarkEnd w:id="95"/>
    <w:bookmarkStart w:id="98" w:name="history"/>
    <w:p>
      <w:pPr>
        <w:pStyle w:val="Heading1"/>
      </w:pPr>
      <w:r>
        <w:t xml:space="preserve">History</w:t>
      </w:r>
    </w:p>
    <w:tbl>
      <w:tblPr>
        <w:tblStyle w:val="Table"/>
        <w:tblW w:type="pct" w:w="4948"/>
        <w:tblLayout w:type="fixed"/>
        <w:tblLook w:firstRow="1" w:lastRow="0" w:firstColumn="0" w:lastColumn="0" w:noHBand="0" w:noVBand="0" w:val="0020"/>
      </w:tblPr>
      <w:tblGrid>
        <w:gridCol w:w="653"/>
        <w:gridCol w:w="979"/>
        <w:gridCol w:w="6205"/>
      </w:tblGrid>
      <w:tr>
        <w:trPr>
          <w:tblHeader w:val="on"/>
        </w:trPr>
        <w:tc>
          <w:tcPr>
            <w:gridSpan w:val="3"/>
          </w:tcPr>
          <w:p>
            <w:pPr>
              <w:pStyle w:val="Compact"/>
              <w:jc w:val="left"/>
            </w:pPr>
            <w:r>
              <w:rPr>
                <w:b/>
                <w:bCs/>
              </w:rPr>
              <w:t xml:space="preserve">Document history</w:t>
            </w:r>
          </w:p>
        </w:tc>
      </w:tr>
      <w:tr>
        <w:tc>
          <w:tcPr/>
          <w:p>
            <w:pPr>
              <w:pStyle w:val="Compact"/>
              <w:jc w:val="left"/>
            </w:pPr>
            <w:r>
              <w:t xml:space="preserve">V2.0.0</w:t>
            </w:r>
          </w:p>
        </w:tc>
        <w:tc>
          <w:tcPr/>
          <w:p>
            <w:pPr>
              <w:pStyle w:val="Compact"/>
              <w:jc w:val="left"/>
            </w:pPr>
            <w:r>
              <w:t xml:space="preserve">2018-07-27</w:t>
            </w:r>
          </w:p>
        </w:tc>
        <w:tc>
          <w:tcPr/>
          <w:p>
            <w:pPr>
              <w:pStyle w:val="Compact"/>
              <w:jc w:val="left"/>
            </w:pPr>
            <w:r>
              <w:t xml:space="preserve">Base document from TS-0019 v1.0.0</w:t>
            </w:r>
          </w:p>
        </w:tc>
      </w:tr>
      <w:tr>
        <w:tc>
          <w:tcPr/>
          <w:p>
            <w:pPr>
              <w:pStyle w:val="Compact"/>
              <w:jc w:val="left"/>
            </w:pPr>
            <w:r>
              <w:t xml:space="preserve">V2.1.0</w:t>
            </w:r>
          </w:p>
        </w:tc>
        <w:tc>
          <w:tcPr/>
          <w:p>
            <w:pPr>
              <w:pStyle w:val="Compact"/>
              <w:jc w:val="left"/>
            </w:pPr>
            <w:r>
              <w:t xml:space="preserve">2018-11-20</w:t>
            </w:r>
          </w:p>
        </w:tc>
        <w:tc>
          <w:tcPr/>
          <w:p>
            <w:pPr>
              <w:jc w:val="left"/>
            </w:pPr>
            <w:r>
              <w:t xml:space="preserve">Integrated approved contributions:</w:t>
            </w:r>
          </w:p>
          <w:p>
            <w:pPr>
              <w:pStyle w:val="Compact"/>
              <w:numPr>
                <w:ilvl w:val="0"/>
                <w:numId w:val="1028"/>
              </w:numPr>
              <w:jc w:val="left"/>
            </w:pPr>
            <w:r>
              <w:t xml:space="preserve">TST-2018-0147-TS-0019_Test_strategy_and_test_component_details_R2</w:t>
            </w:r>
          </w:p>
        </w:tc>
      </w:tr>
      <w:tr>
        <w:tc>
          <w:tcPr/>
          <w:p>
            <w:pPr>
              <w:pStyle w:val="Compact"/>
              <w:jc w:val="left"/>
            </w:pPr>
            <w:r>
              <w:t xml:space="preserve">V2.2.0</w:t>
            </w:r>
          </w:p>
        </w:tc>
        <w:tc>
          <w:tcPr/>
          <w:p>
            <w:pPr>
              <w:pStyle w:val="Compact"/>
              <w:jc w:val="left"/>
            </w:pPr>
            <w:r>
              <w:t xml:space="preserve">2019-04-24</w:t>
            </w:r>
          </w:p>
        </w:tc>
        <w:tc>
          <w:tcPr/>
          <w:p>
            <w:pPr>
              <w:jc w:val="left"/>
            </w:pPr>
            <w:r>
              <w:t xml:space="preserve">Integrated approved contributions:</w:t>
            </w:r>
          </w:p>
          <w:p>
            <w:pPr>
              <w:pStyle w:val="Compact"/>
              <w:numPr>
                <w:ilvl w:val="0"/>
                <w:numId w:val="1029"/>
              </w:numPr>
              <w:jc w:val="left"/>
            </w:pPr>
            <w:r>
              <w:t xml:space="preserve">TDE-2019-0050-TS-0019_Test_strategy_and_pixits_R2</w:t>
            </w:r>
          </w:p>
        </w:tc>
      </w:tr>
      <w:tr>
        <w:tc>
          <w:tcPr/>
          <w:p>
            <w:pPr>
              <w:pStyle w:val="Compact"/>
              <w:jc w:val="left"/>
            </w:pPr>
            <w:r>
              <w:t xml:space="preserve">V2.3.1</w:t>
            </w:r>
          </w:p>
        </w:tc>
        <w:tc>
          <w:tcPr/>
          <w:p>
            <w:pPr>
              <w:pStyle w:val="Compact"/>
              <w:jc w:val="left"/>
            </w:pPr>
            <w:r>
              <w:t xml:space="preserve">July 2019</w:t>
            </w:r>
          </w:p>
        </w:tc>
        <w:tc>
          <w:tcPr/>
          <w:p>
            <w:pPr>
              <w:pStyle w:val="Compact"/>
              <w:jc w:val="left"/>
            </w:pPr>
            <w:r>
              <w:t xml:space="preserve">Partners pre-processing done by</w:t>
            </w:r>
            <w:r>
              <w:t xml:space="preserve"> </w:t>
            </w:r>
            <w:r>
              <w:rPr>
                <w:b/>
                <w:bCs/>
                <w:i/>
                <w:iCs/>
              </w:rPr>
              <w:t xml:space="preserve">editHelp!</w:t>
            </w:r>
            <w:r>
              <w:t xml:space="preserve"> </w:t>
            </w:r>
            <w:r>
              <w:t xml:space="preserve">e-mail:</w:t>
            </w:r>
            <w:r>
              <w:t xml:space="preserve"> </w:t>
            </w:r>
            <w:hyperlink r:id="rId96">
              <w:r>
                <w:rPr>
                  <w:rStyle w:val="Hyperlink"/>
                </w:rPr>
                <w:t xml:space="preserve">mailto:edithelp@etsi.org</w:t>
              </w:r>
            </w:hyperlink>
          </w:p>
        </w:tc>
      </w:tr>
      <w:tr>
        <w:tc>
          <w:tcPr/>
          <w:p>
            <w:pPr>
              <w:pStyle w:val="Compact"/>
              <w:jc w:val="left"/>
            </w:pPr>
            <w:r>
              <w:t xml:space="preserve">V2.4.0</w:t>
            </w:r>
          </w:p>
        </w:tc>
        <w:tc>
          <w:tcPr/>
          <w:p>
            <w:pPr>
              <w:pStyle w:val="Compact"/>
              <w:jc w:val="left"/>
            </w:pPr>
            <w:r>
              <w:t xml:space="preserve">Sep 2019</w:t>
            </w:r>
          </w:p>
        </w:tc>
        <w:tc>
          <w:tcPr/>
          <w:p>
            <w:pPr>
              <w:jc w:val="left"/>
            </w:pPr>
            <w:r>
              <w:t xml:space="preserve">Integrated approved contributions:</w:t>
            </w:r>
          </w:p>
          <w:p>
            <w:pPr>
              <w:pStyle w:val="Compact"/>
              <w:numPr>
                <w:ilvl w:val="0"/>
                <w:numId w:val="1030"/>
              </w:numPr>
              <w:jc w:val="left"/>
            </w:pPr>
            <w:r>
              <w:t xml:space="preserve">TDE-2019-0162-TTCN-3_Test_cases</w:t>
            </w:r>
          </w:p>
        </w:tc>
      </w:tr>
      <w:tr>
        <w:tc>
          <w:tcPr/>
          <w:p>
            <w:pPr>
              <w:pStyle w:val="Compact"/>
              <w:jc w:val="left"/>
            </w:pPr>
            <w:r>
              <w:t xml:space="preserve">V2.5.0</w:t>
            </w:r>
          </w:p>
        </w:tc>
        <w:tc>
          <w:tcPr/>
          <w:p>
            <w:pPr>
              <w:pStyle w:val="Compact"/>
              <w:jc w:val="left"/>
            </w:pPr>
            <w:r>
              <w:t xml:space="preserve">May 2020</w:t>
            </w:r>
          </w:p>
        </w:tc>
        <w:tc>
          <w:tcPr/>
          <w:p>
            <w:pPr>
              <w:jc w:val="left"/>
            </w:pPr>
            <w:r>
              <w:t xml:space="preserve">Integrated approved contributions:</w:t>
            </w:r>
          </w:p>
          <w:p>
            <w:pPr>
              <w:pStyle w:val="Compact"/>
              <w:numPr>
                <w:ilvl w:val="0"/>
                <w:numId w:val="1031"/>
              </w:numPr>
              <w:jc w:val="left"/>
            </w:pPr>
            <w:r>
              <w:t xml:space="preserve">TDE-2020-0043-TS-0019_TTCN-3_Test_cases_R2</w:t>
            </w:r>
          </w:p>
          <w:p>
            <w:pPr>
              <w:pStyle w:val="Compact"/>
              <w:numPr>
                <w:ilvl w:val="0"/>
                <w:numId w:val="1031"/>
              </w:numPr>
              <w:jc w:val="left"/>
            </w:pPr>
            <w:r>
              <w:t xml:space="preserve">TDE-2020-0044R01-TS-0019_Update_Test_components_variables_R2</w:t>
            </w:r>
          </w:p>
        </w:tc>
      </w:tr>
      <w:tr>
        <w:tc>
          <w:tcPr/>
          <w:p>
            <w:pPr>
              <w:pStyle w:val="Compact"/>
              <w:jc w:val="left"/>
            </w:pPr>
            <w:r>
              <w:t xml:space="preserve">V2.6.0</w:t>
            </w:r>
          </w:p>
        </w:tc>
        <w:tc>
          <w:tcPr/>
          <w:p>
            <w:pPr>
              <w:pStyle w:val="Compact"/>
              <w:jc w:val="left"/>
            </w:pPr>
            <w:r>
              <w:t xml:space="preserve">Jan 2021</w:t>
            </w:r>
          </w:p>
        </w:tc>
        <w:tc>
          <w:tcPr/>
          <w:p>
            <w:pPr>
              <w:jc w:val="left"/>
            </w:pPr>
            <w:r>
              <w:t xml:space="preserve">Integrated approved contributions:</w:t>
            </w:r>
          </w:p>
          <w:p>
            <w:pPr>
              <w:pStyle w:val="Compact"/>
              <w:numPr>
                <w:ilvl w:val="0"/>
                <w:numId w:val="1032"/>
              </w:numPr>
              <w:jc w:val="left"/>
            </w:pPr>
            <w:r>
              <w:t xml:space="preserve">TDE-2020-0105-TS-0019_TTCN3_Test_cases_R2</w:t>
            </w:r>
          </w:p>
        </w:tc>
      </w:tr>
      <w:tr>
        <w:tc>
          <w:tcPr/>
          <w:p>
            <w:pPr>
              <w:pStyle w:val="Compact"/>
              <w:jc w:val="left"/>
            </w:pPr>
            <w:r>
              <w:t xml:space="preserve">V2.7.0</w:t>
            </w:r>
          </w:p>
        </w:tc>
        <w:tc>
          <w:tcPr/>
          <w:p>
            <w:pPr>
              <w:pStyle w:val="Compact"/>
              <w:jc w:val="left"/>
            </w:pPr>
            <w:r>
              <w:t xml:space="preserve">Jan 2022</w:t>
            </w:r>
          </w:p>
        </w:tc>
        <w:tc>
          <w:tcPr/>
          <w:p>
            <w:pPr>
              <w:jc w:val="left"/>
            </w:pPr>
            <w:r>
              <w:t xml:space="preserve">Integrated approved contributions:</w:t>
            </w:r>
          </w:p>
          <w:p>
            <w:pPr>
              <w:pStyle w:val="Compact"/>
              <w:numPr>
                <w:ilvl w:val="0"/>
                <w:numId w:val="1033"/>
              </w:numPr>
              <w:jc w:val="left"/>
            </w:pPr>
            <w:r>
              <w:t xml:space="preserve">TDE-2021-0070-TS-0019_TTCN3_Test_cases_R2</w:t>
            </w:r>
          </w:p>
          <w:p>
            <w:pPr>
              <w:pStyle w:val="Compact"/>
              <w:numPr>
                <w:ilvl w:val="0"/>
                <w:numId w:val="1033"/>
              </w:numPr>
              <w:jc w:val="left"/>
            </w:pPr>
            <w:r>
              <w:t xml:space="preserve">TDE-2022-0001-TS-0019_Update_Test_components_variables_R2</w:t>
            </w:r>
          </w:p>
        </w:tc>
      </w:tr>
      <w:tr>
        <w:tc>
          <w:tcPr/>
          <w:p>
            <w:pPr>
              <w:pStyle w:val="Compact"/>
              <w:jc w:val="left"/>
            </w:pPr>
            <w:r>
              <w:t xml:space="preserve">V2.8.0</w:t>
            </w:r>
          </w:p>
        </w:tc>
        <w:tc>
          <w:tcPr/>
          <w:p>
            <w:pPr>
              <w:pStyle w:val="Compact"/>
              <w:jc w:val="left"/>
            </w:pPr>
            <w:r>
              <w:t xml:space="preserve">Apr 2023</w:t>
            </w:r>
          </w:p>
        </w:tc>
        <w:tc>
          <w:tcPr/>
          <w:p>
            <w:pPr>
              <w:jc w:val="left"/>
            </w:pPr>
            <w:r>
              <w:t xml:space="preserve">Integrated approved contributions:</w:t>
            </w:r>
          </w:p>
          <w:p>
            <w:pPr>
              <w:pStyle w:val="Compact"/>
              <w:numPr>
                <w:ilvl w:val="0"/>
                <w:numId w:val="1034"/>
              </w:numPr>
              <w:jc w:val="left"/>
            </w:pPr>
            <w:r>
              <w:t xml:space="preserve">TDE-2023-0001-TS-0019_TTCN3_Test_cases_R2</w:t>
            </w:r>
          </w:p>
        </w:tc>
      </w:tr>
      <w:tr>
        <w:tc>
          <w:tcPr/>
          <w:p>
            <w:pPr>
              <w:pStyle w:val="Compact"/>
              <w:jc w:val="left"/>
            </w:pPr>
            <w:r>
              <w:t xml:space="preserve">V2.9.0</w:t>
            </w:r>
          </w:p>
        </w:tc>
        <w:tc>
          <w:tcPr/>
          <w:p>
            <w:pPr>
              <w:pStyle w:val="Compact"/>
              <w:jc w:val="left"/>
            </w:pPr>
            <w:r>
              <w:t xml:space="preserve">Jan 2024</w:t>
            </w:r>
          </w:p>
        </w:tc>
        <w:tc>
          <w:tcPr/>
          <w:p>
            <w:pPr>
              <w:jc w:val="left"/>
            </w:pPr>
            <w:r>
              <w:t xml:space="preserve">Integrated approved contributions:</w:t>
            </w:r>
          </w:p>
          <w:p>
            <w:pPr>
              <w:pStyle w:val="Compact"/>
              <w:numPr>
                <w:ilvl w:val="0"/>
                <w:numId w:val="1035"/>
              </w:numPr>
              <w:jc w:val="left"/>
            </w:pPr>
            <w:r>
              <w:t xml:space="preserve">TDE-2023-0050-TS-0019-Adaptation_from_converted_version_R2</w:t>
            </w:r>
          </w:p>
        </w:tc>
      </w:tr>
      <w:tr>
        <w:tc>
          <w:tcPr/>
          <w:p>
            <w:pPr>
              <w:pStyle w:val="Compact"/>
              <w:jc w:val="left"/>
            </w:pPr>
            <w:r>
              <w:t xml:space="preserve">V2.9.1</w:t>
            </w:r>
          </w:p>
        </w:tc>
        <w:tc>
          <w:tcPr/>
          <w:p>
            <w:pPr>
              <w:pStyle w:val="Compact"/>
              <w:jc w:val="left"/>
            </w:pPr>
            <w:r>
              <w:t xml:space="preserve">2024-02-15</w:t>
            </w:r>
          </w:p>
        </w:tc>
        <w:tc>
          <w:tcPr/>
          <w:p>
            <w:pPr>
              <w:pStyle w:val="Compact"/>
              <w:jc w:val="left"/>
            </w:pPr>
            <w:r>
              <w:t xml:space="preserve">Some editorials</w:t>
            </w:r>
          </w:p>
        </w:tc>
      </w:tr>
      <w:tr>
        <w:tc>
          <w:tcPr/>
          <w:p>
            <w:pPr>
              <w:pStyle w:val="Compact"/>
              <w:jc w:val="left"/>
            </w:pPr>
            <w:r>
              <w:t xml:space="preserve">V2.9.2</w:t>
            </w:r>
          </w:p>
        </w:tc>
        <w:tc>
          <w:tcPr/>
          <w:p>
            <w:pPr>
              <w:pStyle w:val="Compact"/>
              <w:jc w:val="left"/>
            </w:pPr>
            <w:r>
              <w:t xml:space="preserve">2025-02-13</w:t>
            </w:r>
          </w:p>
        </w:tc>
        <w:tc>
          <w:tcPr/>
          <w:p>
            <w:pPr>
              <w:pStyle w:val="Compact"/>
              <w:jc w:val="left"/>
            </w:pPr>
            <w:r>
              <w:t xml:space="preserve">Partners pre-processing done by</w:t>
            </w:r>
            <w:r>
              <w:t xml:space="preserve"> </w:t>
            </w:r>
            <w:r>
              <w:rPr>
                <w:b/>
                <w:bCs/>
                <w:i/>
                <w:iCs/>
              </w:rPr>
              <w:t xml:space="preserve">editHelp!</w:t>
            </w:r>
            <w:r>
              <w:br/>
            </w:r>
            <w:r>
              <w:t xml:space="preserve">e-mail:</w:t>
            </w:r>
            <w:r>
              <w:t xml:space="preserve"> </w:t>
            </w:r>
            <w:hyperlink r:id="rId97">
              <w:r>
                <w:rPr>
                  <w:rStyle w:val="Hyperlink"/>
                </w:rPr>
                <w:t xml:space="preserve">edithelp@etsi.org</w:t>
              </w:r>
            </w:hyperlink>
          </w:p>
        </w:tc>
      </w:tr>
      <w:tr>
        <w:tc>
          <w:tcPr/>
          <w:p>
            <w:pPr>
              <w:pStyle w:val="Compact"/>
            </w:pPr>
          </w:p>
        </w:tc>
        <w:tc>
          <w:tcPr/>
          <w:p>
            <w:pPr>
              <w:pStyle w:val="Compact"/>
            </w:pPr>
          </w:p>
        </w:tc>
        <w:tc>
          <w:tcPr/>
          <w:p>
            <w:pPr>
              <w:pStyle w:val="Compact"/>
            </w:pPr>
          </w:p>
        </w:tc>
      </w:tr>
    </w:tbl>
    <w:bookmarkEnd w:id="98"/>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58" Target="media/rId58.png" /><Relationship Type="http://schemas.openxmlformats.org/officeDocument/2006/relationships/image" Id="rId73" Target="media/rId73.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53" Target="media/rId53.png" /><Relationship Type="http://schemas.openxmlformats.org/officeDocument/2006/relationships/hyperlink" Id="rId97"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2" Target="https://git.onem2m.org/TST/ATS/-/tags/TS-0019-baseline-v2_9_2" TargetMode="External" /><Relationship Type="http://schemas.openxmlformats.org/officeDocument/2006/relationships/hyperlink" Id="rId96" Target="mailto:edithelp@etsi.org" TargetMode="External" /></Relationships>
</file>

<file path=word/_rels/footnotes.xml.rels><?xml version="1.0" encoding="UTF-8"?><Relationships xmlns="http://schemas.openxmlformats.org/package/2006/relationships"><Relationship Type="http://schemas.openxmlformats.org/officeDocument/2006/relationships/hyperlink" Id="rId97"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2" Target="https://git.onem2m.org/TST/ATS/-/tags/TS-0019-baseline-v2_9_2" TargetMode="External" /><Relationship Type="http://schemas.openxmlformats.org/officeDocument/2006/relationships/hyperlink" Id="rId96" Target="mailto:edithelp@etsi.org"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2025-02-13T08:53:20Z</dcterms:created>
  <dcterms:modified xsi:type="dcterms:W3CDTF">2025-02-13T08:53:20Z</dcterms:modified>
</cp:coreProperties>
</file>

<file path=docProps/custom.xml><?xml version="1.0" encoding="utf-8"?>
<Properties xmlns="http://schemas.openxmlformats.org/officeDocument/2006/custom-properties" xmlns:vt="http://schemas.openxmlformats.org/officeDocument/2006/docPropsVTypes"/>
</file>