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625E3"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625E3"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81B4F"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81B4F" w:rsidRDefault="00581B4F" w:rsidP="00581B4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581B4F" w:rsidRDefault="00581B4F" w:rsidP="00581B4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81B4F" w:rsidRPr="00C032BF" w:rsidRDefault="00581B4F" w:rsidP="00581B4F">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581B4F" w:rsidRPr="00BF400F" w:rsidRDefault="00581B4F" w:rsidP="00581B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5.5</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581B4F"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D52B25" w:rsidRDefault="00581B4F" w:rsidP="00D52B25">
            <w:pPr>
              <w:suppressAutoHyphens/>
              <w:jc w:val="center"/>
              <w:rPr>
                <w:rFonts w:cs="Arial"/>
                <w:b/>
                <w:bCs/>
                <w:color w:val="000000"/>
              </w:rPr>
            </w:pPr>
            <w:r>
              <w:rPr>
                <w:rFonts w:cs="Arial"/>
                <w:b/>
                <w:bCs/>
                <w:color w:val="000000"/>
              </w:rPr>
              <w:t>15:30-17</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581B4F" w:rsidP="000D5257">
            <w:pPr>
              <w:suppressAutoHyphens/>
              <w:jc w:val="center"/>
              <w:textAlignment w:val="baseline"/>
              <w:rPr>
                <w:rFonts w:eastAsia="MS Mincho" w:cs="Arial"/>
                <w:b/>
                <w:bCs/>
                <w:color w:val="000000"/>
                <w:kern w:val="24"/>
                <w:highlight w:val="blue"/>
                <w:lang w:eastAsia="ja-JP"/>
              </w:rPr>
            </w:pPr>
            <w:r>
              <w:rPr>
                <w:rFonts w:eastAsia="MS Mincho" w:cs="Arial"/>
                <w:b/>
                <w:bCs/>
                <w:color w:val="000000"/>
                <w:kern w:val="24"/>
                <w:highlight w:val="blue"/>
                <w:lang w:eastAsia="ja-JP"/>
              </w:rPr>
              <w:t>Joint Session with ARC Ja</w:t>
            </w:r>
            <w:r w:rsidR="00B91E85" w:rsidRPr="00C032BF">
              <w:rPr>
                <w:rFonts w:eastAsia="MS Mincho" w:cs="Arial"/>
                <w:b/>
                <w:bCs/>
                <w:color w:val="000000"/>
                <w:kern w:val="24"/>
                <w:highlight w:val="blue"/>
                <w:lang w:eastAsia="ja-JP"/>
              </w:rPr>
              <w:t>1</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w:t>
            </w:r>
            <w:r w:rsidR="00581B4F">
              <w:rPr>
                <w:rFonts w:eastAsia="MS Mincho" w:cs="Arial"/>
                <w:bCs/>
                <w:color w:val="000000"/>
                <w:kern w:val="24"/>
                <w:lang w:eastAsia="ja-JP"/>
              </w:rPr>
              <w:t>4</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lastRenderedPageBreak/>
              <w:t>Outremont</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C30985"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MAS support on </w:t>
            </w:r>
            <w:proofErr w:type="spellStart"/>
            <w:r>
              <w:rPr>
                <w:rFonts w:eastAsia="MS Mincho" w:cs="Arial"/>
                <w:b/>
                <w:bCs/>
                <w:color w:val="000000"/>
                <w:kern w:val="24"/>
                <w:lang w:eastAsia="ja-JP"/>
              </w:rPr>
              <w:t>DevCfg</w:t>
            </w:r>
            <w:proofErr w:type="spellEnd"/>
            <w:r>
              <w:rPr>
                <w:rFonts w:eastAsia="MS Mincho" w:cs="Arial"/>
                <w:b/>
                <w:bCs/>
                <w:color w:val="000000"/>
                <w:kern w:val="24"/>
                <w:lang w:eastAsia="ja-JP"/>
              </w:rPr>
              <w:t xml:space="preserve"> + </w:t>
            </w:r>
            <w:r w:rsidR="005F6771">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w:t>
      </w:r>
      <w:r w:rsidR="00183C80">
        <w:rPr>
          <w:b w:val="0"/>
        </w:rPr>
        <w:t>2</w:t>
      </w:r>
      <w:r w:rsidR="00AB522E">
        <w:rPr>
          <w:b w:val="0"/>
        </w:rPr>
        <w:t xml:space="preserve">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524F9D" w:rsidRPr="00524F9D" w:rsidRDefault="002F593B" w:rsidP="00524F9D">
      <w:pPr>
        <w:pStyle w:val="Agenda1"/>
        <w:numPr>
          <w:ilvl w:val="1"/>
          <w:numId w:val="25"/>
        </w:numPr>
        <w:rPr>
          <w:b w:val="0"/>
        </w:rPr>
      </w:pPr>
      <w:r>
        <w:rPr>
          <w:b w:val="0"/>
        </w:rPr>
        <w:t>TR-0012 draft Ba</w:t>
      </w:r>
      <w:r w:rsidR="00524F9D">
        <w:rPr>
          <w:b w:val="0"/>
        </w:rPr>
        <w:t>seline: v1.0.0 (in SEC-2016-0147</w:t>
      </w:r>
      <w:r w:rsidR="00AB522E">
        <w:rPr>
          <w:b w:val="0"/>
        </w:rPr>
        <w:t>)</w:t>
      </w:r>
    </w:p>
    <w:p w:rsidR="00AB522E" w:rsidRDefault="00AB522E" w:rsidP="008E4F3A">
      <w:pPr>
        <w:pStyle w:val="Agenda1"/>
        <w:numPr>
          <w:ilvl w:val="1"/>
          <w:numId w:val="25"/>
        </w:numPr>
        <w:rPr>
          <w:b w:val="0"/>
        </w:rPr>
      </w:pPr>
      <w:r>
        <w:rPr>
          <w:b w:val="0"/>
        </w:rPr>
        <w:t xml:space="preserve"> </w:t>
      </w:r>
      <w:r w:rsidR="008D60EB">
        <w:rPr>
          <w:b w:val="0"/>
        </w:rPr>
        <w:t xml:space="preserve">TR-0016 draft baseline: v0.9.0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lastRenderedPageBreak/>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tabs>
                <w:tab w:val="clear" w:pos="284"/>
              </w:tabs>
              <w:spacing w:before="45"/>
            </w:pPr>
            <w:r w:rsidRPr="008D2EAC">
              <w:t>To review suitability of algorithms choices in TS-0003</w:t>
            </w:r>
          </w:p>
          <w:p w:rsidR="00D977A6" w:rsidRDefault="00D977A6" w:rsidP="005E7A83">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5E7A83">
            <w:pPr>
              <w:numPr>
                <w:ilvl w:val="0"/>
                <w:numId w:val="33"/>
              </w:numPr>
            </w:pPr>
            <w:r w:rsidRPr="008D2EAC">
              <w:t>To check entity authentication part before registration in the TS-0001 in line with TS-0003</w:t>
            </w:r>
          </w:p>
          <w:p w:rsidR="00D977A6" w:rsidRDefault="00D977A6" w:rsidP="005E7A83">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BF6089"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SEC-2016-0</w:t>
            </w:r>
            <w:r w:rsidR="00E53CD0" w:rsidRPr="00524F9D">
              <w:rPr>
                <w:rFonts w:ascii="Verdana" w:hAnsi="Verdana"/>
                <w:color w:val="D9D9D9" w:themeColor="background1" w:themeShade="D9"/>
                <w:sz w:val="17"/>
                <w:szCs w:val="17"/>
              </w:rPr>
              <w:t>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Refining MAF description</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proofErr w:type="spellStart"/>
            <w:r w:rsidRPr="00524F9D">
              <w:rPr>
                <w:rFonts w:ascii="Verdana" w:hAnsi="Verdana"/>
                <w:color w:val="D9D9D9" w:themeColor="background1" w:themeShade="D9"/>
                <w:sz w:val="17"/>
                <w:szCs w:val="17"/>
              </w:rPr>
              <w:t>EasyGlobalMarket</w:t>
            </w:r>
            <w:proofErr w:type="spellEnd"/>
            <w:r w:rsidRPr="00524F9D">
              <w:rPr>
                <w:rFonts w:ascii="Verdana" w:hAnsi="Verdana"/>
                <w:color w:val="D9D9D9" w:themeColor="background1" w:themeShade="D9"/>
                <w:sz w:val="17"/>
                <w:szCs w:val="17"/>
              </w:rPr>
              <w:t xml:space="preserve">, </w:t>
            </w:r>
            <w:proofErr w:type="spellStart"/>
            <w:r w:rsidRPr="00524F9D">
              <w:rPr>
                <w:rFonts w:ascii="Verdana" w:hAnsi="Verdana"/>
                <w:color w:val="D9D9D9" w:themeColor="background1" w:themeShade="D9"/>
                <w:sz w:val="17"/>
                <w:szCs w:val="17"/>
              </w:rPr>
              <w:t>Cadzow</w:t>
            </w:r>
            <w:proofErr w:type="spellEnd"/>
            <w:r w:rsidRPr="00524F9D">
              <w:rPr>
                <w:rFonts w:ascii="Verdana" w:hAnsi="Verdana"/>
                <w:color w:val="D9D9D9" w:themeColor="background1" w:themeShade="D9"/>
                <w:sz w:val="17"/>
                <w:szCs w:val="17"/>
              </w:rPr>
              <w:t xml:space="preserve"> Communications Ltd</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
        </w:tc>
      </w:tr>
      <w:tr w:rsidR="001D25FF" w:rsidRPr="001D25F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sidRPr="001D25FF">
              <w:rPr>
                <w:rFonts w:ascii="Verdana" w:hAnsi="Verdana"/>
                <w:sz w:val="17"/>
                <w:szCs w:val="17"/>
              </w:rPr>
              <w:t>SEC-2016-01</w:t>
            </w:r>
            <w:r>
              <w:rPr>
                <w:rFonts w:ascii="Verdana" w:hAnsi="Verdana"/>
                <w:sz w:val="17"/>
                <w:szCs w:val="17"/>
              </w:rPr>
              <w:t>xx</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Pr>
                <w:rFonts w:ascii="Verdana" w:hAnsi="Verdana"/>
                <w:sz w:val="17"/>
                <w:szCs w:val="17"/>
              </w:rPr>
              <w:t>CR TS-0003 Release 1 Normative language clean up</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p>
        </w:tc>
      </w:tr>
      <w:tr w:rsidR="001D25FF" w:rsidRPr="001D25F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Pr>
                <w:rFonts w:ascii="Verdana" w:hAnsi="Verdana"/>
                <w:sz w:val="17"/>
                <w:szCs w:val="17"/>
              </w:rPr>
              <w:t>SEC-2016-01yy</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Default="001D25FF" w:rsidP="008120DB">
            <w:pPr>
              <w:spacing w:before="45"/>
              <w:rPr>
                <w:rFonts w:ascii="Verdana" w:hAnsi="Verdana"/>
                <w:sz w:val="17"/>
                <w:szCs w:val="17"/>
              </w:rPr>
            </w:pPr>
            <w:r>
              <w:rPr>
                <w:rFonts w:ascii="Verdana" w:hAnsi="Verdana"/>
                <w:sz w:val="17"/>
                <w:szCs w:val="17"/>
              </w:rPr>
              <w:t xml:space="preserve">CR TS-0003 R1 Optional </w:t>
            </w:r>
            <w:proofErr w:type="spellStart"/>
            <w:r>
              <w:rPr>
                <w:rFonts w:ascii="Verdana" w:hAnsi="Verdana"/>
                <w:sz w:val="17"/>
                <w:szCs w:val="17"/>
              </w:rPr>
              <w:t>Mca</w:t>
            </w:r>
            <w:proofErr w:type="spellEnd"/>
            <w:r>
              <w:rPr>
                <w:rFonts w:ascii="Verdana" w:hAnsi="Verdana"/>
                <w:sz w:val="17"/>
                <w:szCs w:val="17"/>
              </w:rPr>
              <w:t xml:space="preserve"> security (mirror of SEC-0141)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Default="001D25FF"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SEC-2016-0136</w:t>
            </w:r>
            <w:r w:rsidR="00840816">
              <w:rPr>
                <w:rFonts w:ascii="Verdana" w:hAnsi="Verdana"/>
                <w:color w:val="3B3B39"/>
                <w:sz w:val="17"/>
                <w:szCs w:val="17"/>
              </w:rPr>
              <w:t>R</w:t>
            </w:r>
            <w:r w:rsidR="00B0670C">
              <w:rPr>
                <w:rFonts w:ascii="Verdana" w:hAnsi="Verdana"/>
                <w:color w:val="3B3B39"/>
                <w:sz w:val="17"/>
                <w:szCs w:val="17"/>
              </w:rPr>
              <w:t>0</w:t>
            </w:r>
            <w:r w:rsidR="0084081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Default="00840816" w:rsidP="00D8478A">
            <w:pPr>
              <w:spacing w:before="45"/>
              <w:rPr>
                <w:rFonts w:ascii="Verdana" w:hAnsi="Verdana"/>
                <w:color w:val="3B3B39"/>
                <w:sz w:val="17"/>
                <w:szCs w:val="17"/>
              </w:rPr>
            </w:pPr>
            <w:r>
              <w:rPr>
                <w:rFonts w:ascii="Verdana" w:hAnsi="Verdana"/>
                <w:color w:val="3B3B39"/>
                <w:sz w:val="17"/>
                <w:szCs w:val="17"/>
              </w:rPr>
              <w:t>TBC</w:t>
            </w:r>
          </w:p>
        </w:tc>
      </w:tr>
      <w:tr w:rsidR="000C7C1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3C2AB4" w:rsidP="005E7A83">
            <w:pPr>
              <w:spacing w:before="45"/>
              <w:rPr>
                <w:rFonts w:ascii="Verdana" w:hAnsi="Verdana"/>
                <w:color w:val="3B3B39"/>
                <w:sz w:val="17"/>
                <w:szCs w:val="17"/>
              </w:rPr>
            </w:pPr>
            <w:r>
              <w:rPr>
                <w:rFonts w:ascii="Verdana" w:hAnsi="Verdana"/>
                <w:color w:val="3B3B39"/>
                <w:sz w:val="17"/>
                <w:szCs w:val="17"/>
              </w:rPr>
              <w:t>R01 TBU</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E44A0" w:rsidP="005E7A83">
            <w:pPr>
              <w:spacing w:before="45"/>
              <w:rPr>
                <w:rFonts w:ascii="Verdana" w:hAnsi="Verdana"/>
                <w:color w:val="3B3B39"/>
                <w:sz w:val="17"/>
                <w:szCs w:val="17"/>
              </w:rPr>
            </w:pPr>
            <w:r>
              <w:rPr>
                <w:rFonts w:ascii="Verdana" w:hAnsi="Verdana"/>
                <w:color w:val="3B3B39"/>
                <w:sz w:val="17"/>
                <w:szCs w:val="17"/>
              </w:rPr>
              <w:t>TBD with ARC + PRO</w:t>
            </w:r>
          </w:p>
          <w:p w:rsidR="00E83720" w:rsidRDefault="00E83720" w:rsidP="005E7A83">
            <w:pPr>
              <w:spacing w:before="45"/>
              <w:rPr>
                <w:rFonts w:ascii="Verdana" w:hAnsi="Verdana"/>
                <w:color w:val="3B3B39"/>
                <w:sz w:val="17"/>
                <w:szCs w:val="17"/>
              </w:rPr>
            </w:pPr>
            <w:r>
              <w:rPr>
                <w:rFonts w:ascii="Verdana" w:hAnsi="Verdana"/>
                <w:color w:val="3B3B39"/>
                <w:sz w:val="17"/>
                <w:szCs w:val="17"/>
              </w:rPr>
              <w:t>Background in 129R</w:t>
            </w:r>
            <w:r w:rsidR="003C449B">
              <w:rPr>
                <w:rFonts w:ascii="Verdana" w:hAnsi="Verdana"/>
                <w:color w:val="3B3B39"/>
                <w:sz w:val="17"/>
                <w:szCs w:val="17"/>
              </w:rPr>
              <w:t>4</w:t>
            </w:r>
          </w:p>
          <w:p w:rsidR="003C449B" w:rsidRDefault="003C449B" w:rsidP="005E7A83">
            <w:pPr>
              <w:spacing w:before="45"/>
              <w:rPr>
                <w:rFonts w:ascii="Verdana" w:hAnsi="Verdana"/>
                <w:color w:val="3B3B39"/>
                <w:sz w:val="17"/>
                <w:szCs w:val="17"/>
              </w:rPr>
            </w:pPr>
            <w:r>
              <w:rPr>
                <w:rFonts w:ascii="Verdana" w:hAnsi="Verdana"/>
                <w:color w:val="3B3B39"/>
                <w:sz w:val="17"/>
                <w:szCs w:val="17"/>
              </w:rPr>
              <w:t>Noted</w:t>
            </w:r>
          </w:p>
          <w:p w:rsidR="003C2AB4" w:rsidRDefault="003C2AB4" w:rsidP="005E7A83">
            <w:pPr>
              <w:spacing w:before="45"/>
              <w:rPr>
                <w:rFonts w:ascii="Verdana" w:hAnsi="Verdana"/>
                <w:color w:val="3B3B39"/>
                <w:sz w:val="17"/>
                <w:szCs w:val="17"/>
              </w:rPr>
            </w:pPr>
            <w:r>
              <w:rPr>
                <w:rFonts w:ascii="Verdana" w:hAnsi="Verdana"/>
                <w:color w:val="3B3B39"/>
                <w:sz w:val="17"/>
                <w:szCs w:val="17"/>
              </w:rPr>
              <w:t>R03 TBU noted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SEC-2016-0138</w:t>
            </w:r>
            <w:r w:rsidR="003C2AB4">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C2AB4" w:rsidP="005E7A83">
            <w:pPr>
              <w:spacing w:before="45"/>
              <w:rPr>
                <w:rFonts w:ascii="Verdana" w:hAnsi="Verdana"/>
                <w:color w:val="3B3B39"/>
                <w:sz w:val="17"/>
                <w:szCs w:val="17"/>
              </w:rPr>
            </w:pPr>
            <w:r>
              <w:rPr>
                <w:rFonts w:ascii="Verdana" w:hAnsi="Verdana"/>
                <w:color w:val="3B3B39"/>
                <w:sz w:val="17"/>
                <w:szCs w:val="17"/>
              </w:rPr>
              <w:t>Noted, R01 TBU</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SEC-2016-0139</w:t>
            </w:r>
            <w:r w:rsidR="00840816">
              <w:rPr>
                <w:rFonts w:ascii="Verdana" w:hAnsi="Verdana"/>
                <w:color w:val="3B3B39"/>
                <w:sz w:val="17"/>
                <w:szCs w:val="17"/>
              </w:rPr>
              <w:t>R</w:t>
            </w:r>
            <w:r w:rsidR="003C2AB4">
              <w:rPr>
                <w:rFonts w:ascii="Verdana" w:hAnsi="Verdana"/>
                <w:color w:val="3B3B39"/>
                <w:sz w:val="17"/>
                <w:szCs w:val="17"/>
              </w:rPr>
              <w:t>0</w:t>
            </w:r>
            <w:r w:rsidR="0084081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Agreed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3539" w:rsidRDefault="00EE3539" w:rsidP="005E7A83">
            <w:pPr>
              <w:spacing w:before="45"/>
              <w:rPr>
                <w:rFonts w:ascii="Verdana" w:hAnsi="Verdana"/>
                <w:color w:val="3B3B39"/>
                <w:sz w:val="17"/>
                <w:szCs w:val="17"/>
              </w:rPr>
            </w:pPr>
            <w:r>
              <w:rPr>
                <w:rFonts w:ascii="Verdana" w:hAnsi="Verdana"/>
                <w:color w:val="3B3B39"/>
                <w:sz w:val="17"/>
                <w:szCs w:val="17"/>
              </w:rPr>
              <w:t>Joint session with PRO</w:t>
            </w:r>
          </w:p>
          <w:p w:rsidR="00321D5F" w:rsidRDefault="00EE3539" w:rsidP="005E7A83">
            <w:pPr>
              <w:spacing w:before="45"/>
              <w:rPr>
                <w:rFonts w:ascii="Verdana" w:hAnsi="Verdana"/>
                <w:color w:val="3B3B39"/>
                <w:sz w:val="17"/>
                <w:szCs w:val="17"/>
              </w:rPr>
            </w:pPr>
            <w:r>
              <w:rPr>
                <w:rFonts w:ascii="Verdana" w:hAnsi="Verdana"/>
                <w:color w:val="3B3B39"/>
                <w:sz w:val="17"/>
                <w:szCs w:val="17"/>
              </w:rPr>
              <w:lastRenderedPageBreak/>
              <w:t>PRO dependency on PRO-0262R01</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lastRenderedPageBreak/>
              <w:t>SEC-2016-0141</w:t>
            </w:r>
            <w:r w:rsidR="00840816">
              <w:rPr>
                <w:rFonts w:ascii="Verdana" w:hAnsi="Verdana"/>
                <w:color w:val="3B3B39"/>
                <w:sz w:val="17"/>
                <w:szCs w:val="17"/>
              </w:rPr>
              <w:t>R</w:t>
            </w:r>
            <w:r w:rsidR="00B0670C">
              <w:rPr>
                <w:rFonts w:ascii="Verdana" w:hAnsi="Verdana"/>
                <w:color w:val="3B3B39"/>
                <w:sz w:val="17"/>
                <w:szCs w:val="17"/>
              </w:rPr>
              <w:t>0</w:t>
            </w:r>
            <w:r w:rsidR="001D25FF">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TBC</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SEC-2016-0143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CR TS-0003 R2 Annex Framework references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7C11C3" w:rsidP="006E2822">
            <w:pPr>
              <w:spacing w:before="45"/>
              <w:rPr>
                <w:rFonts w:ascii="Verdana" w:hAnsi="Verdana"/>
                <w:color w:val="3B3B39"/>
                <w:sz w:val="17"/>
                <w:szCs w:val="17"/>
              </w:rPr>
            </w:pPr>
            <w:r>
              <w:rPr>
                <w:rFonts w:ascii="Verdana" w:hAnsi="Verdana"/>
                <w:color w:val="3B3B39"/>
                <w:sz w:val="17"/>
                <w:szCs w:val="17"/>
              </w:rPr>
              <w:t>Presented, open</w:t>
            </w: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FB2F3D">
            <w:pPr>
              <w:spacing w:before="45"/>
              <w:rPr>
                <w:rFonts w:ascii="Verdana" w:hAnsi="Verdana"/>
                <w:color w:val="3B3B39"/>
                <w:sz w:val="17"/>
                <w:szCs w:val="17"/>
              </w:rPr>
            </w:pPr>
            <w:r>
              <w:rPr>
                <w:rFonts w:ascii="Verdana" w:hAnsi="Verdana"/>
                <w:color w:val="3B3B39"/>
                <w:sz w:val="17"/>
                <w:szCs w:val="17"/>
              </w:rPr>
              <w:t>SEC-2016-0148</w:t>
            </w:r>
            <w:r w:rsidR="001D25FF">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9A7A66">
            <w:pPr>
              <w:spacing w:before="45"/>
              <w:rPr>
                <w:rFonts w:ascii="Verdana" w:hAnsi="Verdana"/>
                <w:color w:val="3B3B39"/>
                <w:sz w:val="17"/>
                <w:szCs w:val="17"/>
              </w:rPr>
            </w:pPr>
            <w:r>
              <w:rPr>
                <w:rFonts w:ascii="Verdana" w:hAnsi="Verdana"/>
                <w:color w:val="3B3B39"/>
                <w:sz w:val="17"/>
                <w:szCs w:val="17"/>
              </w:rPr>
              <w:t>CR TS-0003 R2 Editorials &amp;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9A7A66">
            <w:pPr>
              <w:spacing w:before="45"/>
              <w:rPr>
                <w:rFonts w:ascii="Verdana" w:hAnsi="Verdana"/>
                <w:color w:val="3B3B39"/>
                <w:sz w:val="17"/>
                <w:szCs w:val="17"/>
              </w:rPr>
            </w:pPr>
            <w:proofErr w:type="spellStart"/>
            <w:r>
              <w:rPr>
                <w:rFonts w:ascii="Verdana" w:hAnsi="Verdana"/>
                <w:color w:val="3B3B39"/>
                <w:sz w:val="17"/>
                <w:szCs w:val="17"/>
              </w:rPr>
              <w:t>Gemalto</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Requirement for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ARC-2016-0328</w:t>
            </w:r>
            <w:r w:rsidR="00A26905">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D546D" w:rsidRDefault="001D546D" w:rsidP="008E677F">
            <w:pPr>
              <w:spacing w:before="45"/>
              <w:rPr>
                <w:rFonts w:ascii="Verdana" w:hAnsi="Verdana"/>
                <w:color w:val="3B3B39"/>
                <w:sz w:val="17"/>
                <w:szCs w:val="17"/>
              </w:rPr>
            </w:pPr>
            <w:r>
              <w:rPr>
                <w:rFonts w:ascii="Verdana" w:hAnsi="Verdana"/>
                <w:color w:val="3B3B39"/>
                <w:sz w:val="17"/>
                <w:szCs w:val="17"/>
              </w:rPr>
              <w:t>Agreed</w:t>
            </w:r>
          </w:p>
          <w:p w:rsidR="00D6488C" w:rsidRPr="00A26905" w:rsidRDefault="00A26905" w:rsidP="008E677F">
            <w:pPr>
              <w:spacing w:before="45"/>
              <w:rPr>
                <w:rFonts w:ascii="Verdana" w:hAnsi="Verdana"/>
                <w:color w:val="3B3B39"/>
                <w:sz w:val="17"/>
                <w:szCs w:val="17"/>
              </w:rPr>
            </w:pPr>
            <w:r w:rsidRPr="00A26905">
              <w:rPr>
                <w:rFonts w:ascii="Verdana" w:hAnsi="Verdana"/>
                <w:color w:val="3B3B39"/>
                <w:sz w:val="17"/>
                <w:szCs w:val="17"/>
              </w:rPr>
              <w:t xml:space="preserve">Default </w:t>
            </w:r>
            <w:r>
              <w:rPr>
                <w:rFonts w:ascii="Verdana" w:hAnsi="Verdana"/>
                <w:color w:val="3B3B39"/>
                <w:sz w:val="17"/>
                <w:szCs w:val="17"/>
              </w:rPr>
              <w:t>needed for announcement? Point to default ACP entry</w:t>
            </w:r>
            <w:r w:rsidR="001D546D">
              <w:rPr>
                <w:rFonts w:ascii="Verdana" w:hAnsi="Verdana"/>
                <w:color w:val="3B3B39"/>
                <w:sz w:val="17"/>
                <w:szCs w:val="17"/>
              </w:rPr>
              <w:t xml:space="preserve">  TBD</w:t>
            </w:r>
          </w:p>
        </w:tc>
      </w:tr>
      <w:tr w:rsidR="00E97547" w:rsidRPr="00E9754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r w:rsidR="001D546D">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1D546D" w:rsidP="005E7A83">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240F27">
            <w:pPr>
              <w:spacing w:before="45"/>
              <w:rPr>
                <w:rFonts w:ascii="Verdana" w:hAnsi="Verdana"/>
                <w:color w:val="3B3B39"/>
                <w:sz w:val="17"/>
                <w:szCs w:val="17"/>
              </w:rPr>
            </w:pPr>
            <w:r>
              <w:rPr>
                <w:rFonts w:ascii="Verdana" w:hAnsi="Verdana"/>
                <w:color w:val="3B3B39"/>
                <w:sz w:val="17"/>
                <w:szCs w:val="17"/>
              </w:rPr>
              <w:t>ARC-2016-0362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721B72">
            <w:pPr>
              <w:spacing w:before="45"/>
              <w:rPr>
                <w:rFonts w:ascii="Verdana" w:hAnsi="Verdana"/>
                <w:color w:val="3B3B39"/>
                <w:sz w:val="17"/>
                <w:szCs w:val="17"/>
              </w:rPr>
            </w:pPr>
            <w:r>
              <w:rPr>
                <w:rFonts w:ascii="Verdana" w:hAnsi="Verdana"/>
                <w:color w:val="3B3B39"/>
                <w:sz w:val="17"/>
                <w:szCs w:val="17"/>
              </w:rPr>
              <w:t xml:space="preserve">CR Remove </w:t>
            </w:r>
            <w:proofErr w:type="spellStart"/>
            <w:r>
              <w:rPr>
                <w:rFonts w:ascii="Verdana" w:hAnsi="Verdana"/>
                <w:color w:val="3B3B39"/>
                <w:sz w:val="17"/>
                <w:szCs w:val="17"/>
              </w:rPr>
              <w:t>PolicyDecisionPoint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2247F0" w:rsidRPr="002247F0"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w:t>
            </w:r>
            <w:r w:rsidR="00462C63">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305E71" w:rsidP="008E677F">
            <w:pPr>
              <w:spacing w:before="45"/>
              <w:rPr>
                <w:rFonts w:ascii="Verdana" w:hAnsi="Verdana"/>
                <w:color w:val="3B3B39"/>
                <w:sz w:val="17"/>
                <w:szCs w:val="17"/>
                <w:highlight w:val="yellow"/>
              </w:rPr>
            </w:pPr>
            <w:r>
              <w:rPr>
                <w:rFonts w:ascii="Verdana" w:hAnsi="Verdana"/>
                <w:color w:val="3B3B39"/>
                <w:sz w:val="17"/>
                <w:szCs w:val="17"/>
                <w:highlight w:val="yellow"/>
              </w:rPr>
              <w:t>R05 needed</w:t>
            </w: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8E677F">
            <w:pPr>
              <w:spacing w:before="45"/>
              <w:rPr>
                <w:rFonts w:ascii="Verdana" w:hAnsi="Verdana"/>
                <w:color w:val="3B3B39"/>
                <w:sz w:val="17"/>
                <w:szCs w:val="17"/>
                <w:highlight w:val="yellow"/>
              </w:rPr>
            </w:pPr>
            <w:r>
              <w:rPr>
                <w:rFonts w:ascii="Verdana" w:hAnsi="Verdana"/>
                <w:color w:val="3B3B39"/>
                <w:sz w:val="17"/>
                <w:szCs w:val="17"/>
                <w:highlight w:val="yellow"/>
              </w:rPr>
              <w:t>R03 needed</w:t>
            </w: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8E677F">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8C062A" w:rsidP="002E0F86">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D1E5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r>
              <w:rPr>
                <w:rFonts w:ascii="Verdana" w:hAnsi="Verdana"/>
                <w:color w:val="3B3B39"/>
                <w:sz w:val="17"/>
                <w:szCs w:val="17"/>
              </w:rPr>
              <w:t>MAS-2016-0184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proofErr w:type="spellStart"/>
            <w:r>
              <w:rPr>
                <w:rFonts w:ascii="Verdana" w:hAnsi="Verdana"/>
                <w:color w:val="3B3B39"/>
                <w:sz w:val="17"/>
                <w:szCs w:val="17"/>
              </w:rPr>
              <w:t>DevCfg_mgmtObj_dataCollection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8C062A"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49162C" w:rsidP="002E0F86">
            <w:pPr>
              <w:spacing w:before="45"/>
              <w:rPr>
                <w:rFonts w:ascii="Verdana" w:hAnsi="Verdana"/>
                <w:color w:val="3B3B39"/>
                <w:sz w:val="17"/>
                <w:szCs w:val="17"/>
                <w:highlight w:val="yellow"/>
              </w:rPr>
            </w:pPr>
            <w:r>
              <w:rPr>
                <w:rFonts w:ascii="Verdana" w:hAnsi="Verdana"/>
                <w:color w:val="3B3B39"/>
                <w:sz w:val="17"/>
                <w:szCs w:val="17"/>
                <w:highlight w:val="yellow"/>
              </w:rPr>
              <w:t>R01 needed</w:t>
            </w: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w:t>
            </w:r>
            <w:proofErr w:type="spellStart"/>
            <w:r w:rsidR="000C7C17">
              <w:rPr>
                <w:rFonts w:ascii="Verdana" w:hAnsi="Verdana"/>
                <w:color w:val="3B3B39"/>
                <w:sz w:val="17"/>
                <w:szCs w:val="17"/>
              </w:rPr>
              <w:t>Cadzow</w:t>
            </w:r>
            <w:proofErr w:type="spellEnd"/>
            <w:r w:rsidR="000C7C17">
              <w:rPr>
                <w:rFonts w:ascii="Verdana" w:hAnsi="Verdana"/>
                <w:color w:val="3B3B39"/>
                <w:sz w:val="17"/>
                <w:szCs w:val="17"/>
              </w:rPr>
              <w:t xml:space="preserve">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t>TST-2016-01</w:t>
            </w:r>
            <w:r w:rsidR="00B452E1">
              <w:rPr>
                <w:rFonts w:ascii="Verdana" w:hAnsi="Verdana"/>
                <w:color w:val="3B3B39"/>
                <w:sz w:val="17"/>
                <w:szCs w:val="17"/>
              </w:rPr>
              <w:t>37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r w:rsidR="004F559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TST-2016-0120R0</w:t>
            </w:r>
            <w:r w:rsidR="008D60EB">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Security Functions Conformance Testing WI</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B76E71">
            <w:pPr>
              <w:spacing w:before="45"/>
              <w:ind w:left="720"/>
              <w:jc w:val="center"/>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lastRenderedPageBreak/>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r w:rsidR="00524F9D">
              <w:rPr>
                <w:rFonts w:ascii="Verdana" w:hAnsi="Verdana"/>
                <w:color w:val="3B3B39"/>
                <w:sz w:val="17"/>
                <w:szCs w:val="17"/>
              </w:rPr>
              <w:t xml:space="preserve"> (v1.0.0)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39A5" w:rsidP="00552E7B">
            <w:pPr>
              <w:spacing w:before="45"/>
              <w:rPr>
                <w:rFonts w:ascii="Verdana" w:hAnsi="Verdana"/>
                <w:color w:val="3B3B39"/>
                <w:sz w:val="17"/>
                <w:szCs w:val="17"/>
              </w:rPr>
            </w:pPr>
            <w:r>
              <w:rPr>
                <w:rFonts w:ascii="Verdana" w:hAnsi="Verdana"/>
                <w:color w:val="3B3B39"/>
                <w:sz w:val="17"/>
                <w:szCs w:val="17"/>
              </w:rPr>
              <w:t>WI</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977AD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970280" w:rsidP="006E2822">
            <w:pPr>
              <w:spacing w:before="45"/>
              <w:rPr>
                <w:rFonts w:ascii="Verdana" w:hAnsi="Verdana"/>
                <w:color w:val="3B3B39"/>
                <w:sz w:val="17"/>
                <w:szCs w:val="17"/>
              </w:rPr>
            </w:pPr>
            <w:r>
              <w:rPr>
                <w:rFonts w:ascii="Verdana" w:hAnsi="Verdana"/>
                <w:color w:val="3B3B39"/>
                <w:sz w:val="17"/>
                <w:szCs w:val="17"/>
              </w:rPr>
              <w:t>TP-2016-0162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r w:rsidR="00970280">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84" w:type="pct"/>
        <w:tblInd w:w="448" w:type="dxa"/>
        <w:shd w:val="clear" w:color="auto" w:fill="91B5D1"/>
        <w:tblLayout w:type="fixed"/>
        <w:tblCellMar>
          <w:left w:w="0" w:type="dxa"/>
          <w:right w:w="0" w:type="dxa"/>
        </w:tblCellMar>
        <w:tblLook w:val="0000"/>
      </w:tblPr>
      <w:tblGrid>
        <w:gridCol w:w="2192"/>
        <w:gridCol w:w="30"/>
        <w:gridCol w:w="2867"/>
        <w:gridCol w:w="86"/>
        <w:gridCol w:w="1599"/>
        <w:gridCol w:w="9"/>
        <w:gridCol w:w="1849"/>
        <w:gridCol w:w="20"/>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SEC-2016-0144</w:t>
            </w:r>
          </w:p>
        </w:tc>
        <w:tc>
          <w:tcPr>
            <w:tcW w:w="2897"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Result Code for Impersonation error</w:t>
            </w:r>
          </w:p>
        </w:tc>
        <w:tc>
          <w:tcPr>
            <w:tcW w:w="1685"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524F9D" w:rsidTr="003F4C42">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SEC-2016-0145</w:t>
            </w:r>
          </w:p>
        </w:tc>
        <w:tc>
          <w:tcPr>
            <w:tcW w:w="2983"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21796F" w:rsidTr="00524F9D">
        <w:trPr>
          <w:gridAfter w:val="1"/>
          <w:wAfter w:w="20" w:type="dxa"/>
          <w:trHeight w:val="270"/>
        </w:trPr>
        <w:tc>
          <w:tcPr>
            <w:tcW w:w="2222"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SEC-2016-0129R04</w:t>
            </w:r>
          </w:p>
        </w:tc>
        <w:tc>
          <w:tcPr>
            <w:tcW w:w="286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MAF / MEF interfaces presentation</w:t>
            </w:r>
          </w:p>
        </w:tc>
        <w:tc>
          <w:tcPr>
            <w:tcW w:w="1694" w:type="dxa"/>
            <w:gridSpan w:val="3"/>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E03E2E" w:rsidP="00552E7B">
            <w:pPr>
              <w:spacing w:before="45"/>
              <w:rPr>
                <w:rFonts w:ascii="Verdana" w:hAnsi="Verdana"/>
                <w:color w:val="4F81BD"/>
                <w:sz w:val="17"/>
                <w:szCs w:val="17"/>
              </w:rPr>
            </w:pPr>
            <w:r>
              <w:rPr>
                <w:rFonts w:ascii="Verdana" w:hAnsi="Verdana"/>
                <w:color w:val="4F81BD"/>
                <w:sz w:val="17"/>
                <w:szCs w:val="17"/>
              </w:rPr>
              <w:t>For PRO/ARC introduction</w:t>
            </w: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E81" w:rsidRDefault="00AD4E81" w:rsidP="00F77748">
      <w:r>
        <w:separator/>
      </w:r>
    </w:p>
  </w:endnote>
  <w:endnote w:type="continuationSeparator" w:id="0">
    <w:p w:rsidR="00AD4E81" w:rsidRDefault="00AD4E81"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1D25FF">
      <w:rPr>
        <w:rStyle w:val="PageNumber"/>
        <w:noProof/>
        <w:sz w:val="20"/>
        <w:szCs w:val="20"/>
      </w:rPr>
      <w:t>5</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1D25FF">
      <w:rPr>
        <w:rStyle w:val="PageNumber"/>
        <w:noProof/>
        <w:sz w:val="20"/>
        <w:szCs w:val="20"/>
      </w:rPr>
      <w:t>6</w:t>
    </w:r>
    <w:r w:rsidR="005625E3">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1D25FF">
      <w:rPr>
        <w:rStyle w:val="PageNumber"/>
        <w:noProof/>
        <w:sz w:val="20"/>
        <w:szCs w:val="20"/>
      </w:rPr>
      <w:t>1</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1D25FF">
      <w:rPr>
        <w:rStyle w:val="PageNumber"/>
        <w:noProof/>
        <w:sz w:val="20"/>
        <w:szCs w:val="20"/>
      </w:rPr>
      <w:t>6</w:t>
    </w:r>
    <w:r w:rsidR="005625E3">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E81" w:rsidRDefault="00AD4E81" w:rsidP="00F77748">
      <w:r>
        <w:separator/>
      </w:r>
    </w:p>
  </w:footnote>
  <w:footnote w:type="continuationSeparator" w:id="0">
    <w:p w:rsidR="00AD4E81" w:rsidRDefault="00AD4E81"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5625E3" w:rsidRPr="00405E66">
            <w:fldChar w:fldCharType="begin"/>
          </w:r>
          <w:r w:rsidRPr="00201C77">
            <w:rPr>
              <w:lang w:val="fr-FR"/>
            </w:rPr>
            <w:instrText xml:space="preserve"> FILENAME </w:instrText>
          </w:r>
          <w:r w:rsidR="005625E3" w:rsidRPr="00405E66">
            <w:fldChar w:fldCharType="separate"/>
          </w:r>
          <w:r w:rsidR="002F593B">
            <w:rPr>
              <w:noProof/>
              <w:lang w:val="fr-FR"/>
            </w:rPr>
            <w:t>SEC-2016-0142</w:t>
          </w:r>
          <w:r w:rsidR="00242482">
            <w:rPr>
              <w:noProof/>
              <w:lang w:val="fr-FR"/>
            </w:rPr>
            <w:t>R0</w:t>
          </w:r>
          <w:r w:rsidR="0060741B">
            <w:rPr>
              <w:noProof/>
              <w:lang w:val="fr-FR"/>
            </w:rPr>
            <w:t>3</w:t>
          </w:r>
          <w:r w:rsidR="002F593B">
            <w:rPr>
              <w:noProof/>
              <w:lang w:val="fr-FR"/>
            </w:rPr>
            <w:t>-SEC_24</w:t>
          </w:r>
          <w:r>
            <w:rPr>
              <w:noProof/>
              <w:lang w:val="fr-FR"/>
            </w:rPr>
            <w:t>_Agenda</w:t>
          </w:r>
          <w:r w:rsidR="005625E3"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5625E3" w:rsidRPr="00405E66">
            <w:fldChar w:fldCharType="begin"/>
          </w:r>
          <w:r w:rsidRPr="0013005B">
            <w:rPr>
              <w:lang w:val="fr-FR"/>
            </w:rPr>
            <w:instrText xml:space="preserve"> FILENAME </w:instrText>
          </w:r>
          <w:r w:rsidR="005625E3" w:rsidRPr="00405E66">
            <w:fldChar w:fldCharType="separate"/>
          </w:r>
          <w:r w:rsidR="002F593B">
            <w:rPr>
              <w:noProof/>
              <w:lang w:val="fr-FR"/>
            </w:rPr>
            <w:t>SEC-2016-0142</w:t>
          </w:r>
          <w:r w:rsidR="00242482">
            <w:rPr>
              <w:noProof/>
              <w:lang w:val="fr-FR"/>
            </w:rPr>
            <w:t>R0</w:t>
          </w:r>
          <w:r w:rsidR="0060741B">
            <w:rPr>
              <w:noProof/>
              <w:lang w:val="fr-FR"/>
            </w:rPr>
            <w:t>3</w:t>
          </w:r>
          <w:r w:rsidR="002F593B">
            <w:rPr>
              <w:noProof/>
              <w:lang w:val="fr-FR"/>
            </w:rPr>
            <w:t>-SEC_24</w:t>
          </w:r>
          <w:r>
            <w:rPr>
              <w:noProof/>
              <w:lang w:val="fr-FR"/>
            </w:rPr>
            <w:t>_Agenda</w:t>
          </w:r>
          <w:r w:rsidR="005625E3"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3C80"/>
    <w:rsid w:val="0018484A"/>
    <w:rsid w:val="0018629A"/>
    <w:rsid w:val="00192B0B"/>
    <w:rsid w:val="001942E9"/>
    <w:rsid w:val="00195BF9"/>
    <w:rsid w:val="001968C9"/>
    <w:rsid w:val="001A107B"/>
    <w:rsid w:val="001A2965"/>
    <w:rsid w:val="001A66C4"/>
    <w:rsid w:val="001A7247"/>
    <w:rsid w:val="001A768A"/>
    <w:rsid w:val="001B08EF"/>
    <w:rsid w:val="001B0E6C"/>
    <w:rsid w:val="001B1868"/>
    <w:rsid w:val="001B1CE7"/>
    <w:rsid w:val="001B57DF"/>
    <w:rsid w:val="001B62C5"/>
    <w:rsid w:val="001B6453"/>
    <w:rsid w:val="001B6921"/>
    <w:rsid w:val="001C03B5"/>
    <w:rsid w:val="001C0B82"/>
    <w:rsid w:val="001C51CA"/>
    <w:rsid w:val="001D25FF"/>
    <w:rsid w:val="001D32E5"/>
    <w:rsid w:val="001D4073"/>
    <w:rsid w:val="001D546D"/>
    <w:rsid w:val="001E1302"/>
    <w:rsid w:val="001E1323"/>
    <w:rsid w:val="001E3162"/>
    <w:rsid w:val="001E6F9C"/>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2482"/>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5E71"/>
    <w:rsid w:val="00306C40"/>
    <w:rsid w:val="00307B2B"/>
    <w:rsid w:val="003138EC"/>
    <w:rsid w:val="003150F0"/>
    <w:rsid w:val="00317143"/>
    <w:rsid w:val="003178F5"/>
    <w:rsid w:val="003210FB"/>
    <w:rsid w:val="00321D5F"/>
    <w:rsid w:val="00323AF3"/>
    <w:rsid w:val="00326725"/>
    <w:rsid w:val="00327BFB"/>
    <w:rsid w:val="00330F1E"/>
    <w:rsid w:val="00331EE7"/>
    <w:rsid w:val="00336ABD"/>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2AB4"/>
    <w:rsid w:val="003C342C"/>
    <w:rsid w:val="003C449B"/>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2C63"/>
    <w:rsid w:val="004646A0"/>
    <w:rsid w:val="004736AC"/>
    <w:rsid w:val="004758E4"/>
    <w:rsid w:val="004819DF"/>
    <w:rsid w:val="004820AE"/>
    <w:rsid w:val="00482546"/>
    <w:rsid w:val="0048258C"/>
    <w:rsid w:val="00482EB1"/>
    <w:rsid w:val="0048629F"/>
    <w:rsid w:val="0048642A"/>
    <w:rsid w:val="0049162C"/>
    <w:rsid w:val="00494AC6"/>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5592"/>
    <w:rsid w:val="004F7199"/>
    <w:rsid w:val="00500BEC"/>
    <w:rsid w:val="005015CC"/>
    <w:rsid w:val="00502E9E"/>
    <w:rsid w:val="00503AAD"/>
    <w:rsid w:val="00506886"/>
    <w:rsid w:val="00510017"/>
    <w:rsid w:val="005110F0"/>
    <w:rsid w:val="00511C36"/>
    <w:rsid w:val="00513B40"/>
    <w:rsid w:val="00514BAF"/>
    <w:rsid w:val="00520A21"/>
    <w:rsid w:val="00520BEC"/>
    <w:rsid w:val="00524F9D"/>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1B4F"/>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41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165B9"/>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11C3"/>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5FEC"/>
    <w:rsid w:val="008370F0"/>
    <w:rsid w:val="0084032F"/>
    <w:rsid w:val="00840816"/>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062A"/>
    <w:rsid w:val="008C2456"/>
    <w:rsid w:val="008C5F16"/>
    <w:rsid w:val="008C654D"/>
    <w:rsid w:val="008C6E82"/>
    <w:rsid w:val="008C7411"/>
    <w:rsid w:val="008D00FC"/>
    <w:rsid w:val="008D3560"/>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80"/>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1CE5"/>
    <w:rsid w:val="009C41E3"/>
    <w:rsid w:val="009C6CBD"/>
    <w:rsid w:val="009D1E55"/>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2690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4C2"/>
    <w:rsid w:val="00AC6E26"/>
    <w:rsid w:val="00AD214B"/>
    <w:rsid w:val="00AD4936"/>
    <w:rsid w:val="00AD4E81"/>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0670C"/>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76C5"/>
    <w:rsid w:val="00C1429C"/>
    <w:rsid w:val="00C16664"/>
    <w:rsid w:val="00C167EA"/>
    <w:rsid w:val="00C20E6B"/>
    <w:rsid w:val="00C23266"/>
    <w:rsid w:val="00C2721C"/>
    <w:rsid w:val="00C30985"/>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78A"/>
    <w:rsid w:val="00D860F2"/>
    <w:rsid w:val="00D90ADE"/>
    <w:rsid w:val="00D91CFE"/>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3E2E"/>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3720"/>
    <w:rsid w:val="00E87BA3"/>
    <w:rsid w:val="00E92114"/>
    <w:rsid w:val="00E92A66"/>
    <w:rsid w:val="00E92F73"/>
    <w:rsid w:val="00E955BE"/>
    <w:rsid w:val="00E97547"/>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3539"/>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B7641-E303-4F4A-8B2B-5A31EAB4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325</TotalTime>
  <Pages>6</Pages>
  <Words>1364</Words>
  <Characters>7508</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17</cp:revision>
  <cp:lastPrinted>2015-11-06T14:57:00Z</cp:lastPrinted>
  <dcterms:created xsi:type="dcterms:W3CDTF">2016-07-19T14:04:00Z</dcterms:created>
  <dcterms:modified xsi:type="dcterms:W3CDTF">2016-07-20T13:13:00Z</dcterms:modified>
</cp:coreProperties>
</file>