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1BD1C520" w:rsidR="0073465D" w:rsidRPr="00A24F44" w:rsidRDefault="00FC195B" w:rsidP="00F6486D">
            <w:pPr>
              <w:pStyle w:val="oneM2M-CoverTableText"/>
            </w:pPr>
            <w:r>
              <w:t>R</w:t>
            </w:r>
            <w:r w:rsidR="00261E3D">
              <w:t>DM #4</w:t>
            </w:r>
            <w:r w:rsidR="007371F5">
              <w:t>6</w:t>
            </w:r>
            <w:r w:rsidR="00142FC8">
              <w:t>.2</w:t>
            </w:r>
          </w:p>
        </w:tc>
      </w:tr>
      <w:tr w:rsidR="006D4FCD" w:rsidRPr="007371F5"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r>
              <w:rPr>
                <w:rFonts w:ascii="Times New Roman" w:hAnsi="Times New Roman"/>
                <w:color w:val="3B3B39"/>
                <w:lang w:val="en-US"/>
              </w:rPr>
              <w:t xml:space="preserve">TaeHyun Kim,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Mohali,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7B58FF18" w:rsidR="00E27243" w:rsidRPr="00261E3D" w:rsidRDefault="00E27243" w:rsidP="00142FC8">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6D17BC2" w:rsidR="006D4FCD" w:rsidRPr="00A24F44" w:rsidRDefault="00827488" w:rsidP="006675E4">
            <w:pPr>
              <w:pStyle w:val="oneM2M-CoverTableText"/>
            </w:pPr>
            <w:r>
              <w:t>20</w:t>
            </w:r>
            <w:r w:rsidR="00C27F3E">
              <w:t>20</w:t>
            </w:r>
            <w:r>
              <w:t>-</w:t>
            </w:r>
            <w:r w:rsidR="00C27F3E">
              <w:t>0</w:t>
            </w:r>
            <w:r w:rsidR="007371F5">
              <w:t>9</w:t>
            </w:r>
            <w:r w:rsidR="00142FC8">
              <w:t>-2</w:t>
            </w:r>
            <w:r w:rsidR="007371F5">
              <w:t>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7371F5"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7371F5">
              <w:rPr>
                <w:rFonts w:ascii="Times New Roman" w:hAnsi="Times New Roman"/>
                <w:sz w:val="24"/>
              </w:rPr>
            </w:r>
            <w:r w:rsidR="007371F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371F5">
              <w:rPr>
                <w:rFonts w:ascii="Times New Roman" w:hAnsi="Times New Roman"/>
                <w:sz w:val="24"/>
              </w:rPr>
            </w:r>
            <w:r w:rsidR="007371F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371F5">
              <w:rPr>
                <w:rFonts w:ascii="Times New Roman" w:hAnsi="Times New Roman"/>
                <w:sz w:val="24"/>
              </w:rPr>
            </w:r>
            <w:r w:rsidR="007371F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371F5">
              <w:rPr>
                <w:rFonts w:ascii="Times New Roman" w:hAnsi="Times New Roman"/>
                <w:sz w:val="24"/>
              </w:rPr>
            </w:r>
            <w:r w:rsidR="007371F5">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17D0760" w:rsidR="00827488" w:rsidRPr="00C75A58" w:rsidRDefault="00BA376B" w:rsidP="006675E4">
            <w:pPr>
              <w:pStyle w:val="oneM2M-Normal"/>
              <w:rPr>
                <w:sz w:val="22"/>
                <w:lang w:val="en-US"/>
              </w:rPr>
            </w:pPr>
            <w:r>
              <w:rPr>
                <w:noProof/>
              </w:rPr>
              <w:t>RDM-</w:t>
            </w:r>
            <w:r w:rsidRPr="002A1A24">
              <w:rPr>
                <w:noProof/>
              </w:rPr>
              <w:t>2020-</w:t>
            </w:r>
            <w:r w:rsidRPr="00E27243">
              <w:t>00</w:t>
            </w:r>
            <w:r w:rsidR="007371F5">
              <w:t>68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3DACF2CC"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7371F5">
              <w:rPr>
                <w:sz w:val="22"/>
                <w:lang w:val="en-US"/>
              </w:rPr>
              <w:t>6</w:t>
            </w:r>
            <w:r w:rsidR="00142FC8">
              <w:rPr>
                <w:sz w:val="22"/>
                <w:lang w:val="en-US"/>
              </w:rPr>
              <w:t>.2</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C75A58" w:rsidRDefault="00142FC8" w:rsidP="001335BB">
            <w:pPr>
              <w:pStyle w:val="oneM2M-Normal"/>
              <w:rPr>
                <w:sz w:val="22"/>
                <w:lang w:val="en-US"/>
              </w:rPr>
            </w:pPr>
            <w:r>
              <w:rPr>
                <w:sz w:val="22"/>
                <w:lang w:val="en-US"/>
              </w:rPr>
              <w:t>RDM</w:t>
            </w:r>
            <w:r w:rsidR="00827488" w:rsidRPr="00C75A58">
              <w:rPr>
                <w:sz w:val="22"/>
                <w:lang w:val="en-US"/>
              </w:rPr>
              <w:t xml:space="preserve">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0ED1158D" w:rsidR="00827488" w:rsidRPr="00C75A58" w:rsidRDefault="00C27F3E" w:rsidP="006675E4">
            <w:pPr>
              <w:pStyle w:val="oneM2M-Normal"/>
              <w:rPr>
                <w:sz w:val="22"/>
                <w:lang w:val="en-US"/>
              </w:rPr>
            </w:pPr>
            <w:r>
              <w:rPr>
                <w:sz w:val="22"/>
                <w:lang w:val="en-US"/>
              </w:rPr>
              <w:t>2020-0</w:t>
            </w:r>
            <w:r w:rsidR="007371F5">
              <w:rPr>
                <w:sz w:val="22"/>
                <w:lang w:val="en-US"/>
              </w:rPr>
              <w:t>9</w:t>
            </w:r>
            <w:r w:rsidR="00142FC8">
              <w:rPr>
                <w:sz w:val="22"/>
                <w:lang w:val="en-US"/>
              </w:rPr>
              <w:t>-2</w:t>
            </w:r>
            <w:r w:rsidR="007371F5">
              <w:rPr>
                <w:sz w:val="22"/>
                <w:lang w:val="en-US"/>
              </w:rPr>
              <w:t>1</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620A4FF3" w:rsidR="00C27F3E" w:rsidRPr="00C75A58" w:rsidRDefault="00142FC8" w:rsidP="006675E4">
            <w:pPr>
              <w:tabs>
                <w:tab w:val="clear" w:pos="284"/>
              </w:tabs>
              <w:spacing w:before="45"/>
              <w:rPr>
                <w:rFonts w:ascii="Times New Roman" w:hAnsi="Times New Roman"/>
                <w:color w:val="3B3B39"/>
                <w:sz w:val="22"/>
                <w:szCs w:val="20"/>
                <w:lang w:val="en-US"/>
              </w:rPr>
            </w:pPr>
            <w:r w:rsidRPr="00142FC8">
              <w:rPr>
                <w:rFonts w:ascii="Times New Roman" w:hAnsi="Times New Roman"/>
                <w:color w:val="3B3B39"/>
                <w:sz w:val="22"/>
                <w:szCs w:val="20"/>
              </w:rPr>
              <w:t>RDM-2020-00</w:t>
            </w:r>
            <w:r w:rsidR="007371F5">
              <w:rPr>
                <w:rFonts w:ascii="Times New Roman" w:hAnsi="Times New Roman"/>
                <w:color w:val="3B3B39"/>
                <w:sz w:val="22"/>
                <w:szCs w:val="20"/>
              </w:rPr>
              <w:t>67</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534C0DA3"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Minutes_RDM_4</w:t>
            </w:r>
            <w:r w:rsidR="007371F5">
              <w:rPr>
                <w:rFonts w:ascii="Times New Roman" w:hAnsi="Times New Roman"/>
                <w:color w:val="3B3B39"/>
                <w:sz w:val="22"/>
                <w:szCs w:val="20"/>
              </w:rPr>
              <w:t>6</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10E306B9"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2020-0</w:t>
            </w:r>
            <w:r w:rsidR="007371F5">
              <w:rPr>
                <w:rFonts w:ascii="Times New Roman" w:hAnsi="Times New Roman"/>
                <w:color w:val="3B3B39"/>
                <w:sz w:val="22"/>
                <w:szCs w:val="20"/>
              </w:rPr>
              <w:t>7-22</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77777777" w:rsidR="00C27F3E" w:rsidRPr="00C27F3E" w:rsidRDefault="00C27F3E" w:rsidP="006675E4">
            <w:pPr>
              <w:spacing w:before="45"/>
              <w:rPr>
                <w:rFonts w:ascii="Times New Roman" w:hAnsi="Times New Roman"/>
                <w:color w:val="3B3B39"/>
                <w:sz w:val="22"/>
                <w:szCs w:val="20"/>
              </w:rPr>
            </w:pPr>
            <w:r>
              <w:rPr>
                <w:rFonts w:ascii="Times New Roman" w:hAnsi="Times New Roman"/>
                <w:color w:val="3B3B39"/>
                <w:sz w:val="22"/>
                <w:szCs w:val="20"/>
              </w:rPr>
              <w:t>Agreed</w:t>
            </w:r>
          </w:p>
        </w:tc>
      </w:tr>
    </w:tbl>
    <w:p w14:paraId="61B3CF76" w14:textId="77777777" w:rsidR="00827488" w:rsidRDefault="00827488" w:rsidP="00827488">
      <w:pPr>
        <w:pStyle w:val="oneM2M-Heading1"/>
      </w:pPr>
      <w:r>
        <w:t>4</w:t>
      </w:r>
      <w:r w:rsidRPr="00643848">
        <w:tab/>
      </w:r>
      <w:r>
        <w:t>Review of open Action Status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24D80A69" w14:textId="6AD13271" w:rsidR="00142FC8" w:rsidRDefault="00142FC8" w:rsidP="00827488">
      <w:pPr>
        <w:pStyle w:val="oneM2M-Normal"/>
      </w:pPr>
      <w:r>
        <w:t>Baseline of TS-0023 for Rel.4:</w:t>
      </w:r>
    </w:p>
    <w:p w14:paraId="21C64A4F" w14:textId="77777777" w:rsidR="00142FC8" w:rsidRDefault="00142FC8" w:rsidP="00827488">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7371F5" w:rsidRPr="00C75A58" w14:paraId="47E590F0"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hideMark/>
          </w:tcPr>
          <w:p w14:paraId="3B841EE2" w14:textId="0DFE5E48" w:rsidR="007371F5" w:rsidRPr="007371F5" w:rsidRDefault="007371F5" w:rsidP="007371F5">
            <w:pPr>
              <w:pStyle w:val="oneM2M-Normal"/>
              <w:rPr>
                <w:noProof/>
              </w:rPr>
            </w:pPr>
            <w:r w:rsidRPr="00A75D5F">
              <w:rPr>
                <w:noProof/>
              </w:rPr>
              <w:t>RDM-2020-0064R02</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56A19FAA" w14:textId="5A564424" w:rsidR="007371F5" w:rsidRPr="007371F5" w:rsidRDefault="007371F5" w:rsidP="007371F5">
            <w:pPr>
              <w:pStyle w:val="oneM2M-Normal"/>
              <w:rPr>
                <w:noProof/>
              </w:rPr>
            </w:pPr>
            <w:r w:rsidRPr="00A75D5F">
              <w:rPr>
                <w:noProof/>
              </w:rPr>
              <w:t>SDT for Smart LiftTS 0023</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11771540" w14:textId="030D4F5A" w:rsidR="007371F5" w:rsidRPr="007371F5" w:rsidRDefault="007371F5" w:rsidP="007371F5">
            <w:pPr>
              <w:pStyle w:val="oneM2M-Normal"/>
              <w:rPr>
                <w:noProof/>
              </w:rPr>
            </w:pPr>
            <w:r w:rsidRPr="00A75D5F">
              <w:rPr>
                <w:noProof/>
              </w:rPr>
              <w:t>SBS, TIM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2076FF96" w14:textId="02710A29" w:rsidR="007371F5" w:rsidRPr="007371F5" w:rsidRDefault="007371F5" w:rsidP="007371F5">
            <w:pPr>
              <w:pStyle w:val="oneM2M-Normal"/>
              <w:rPr>
                <w:noProof/>
              </w:rPr>
            </w:pPr>
            <w:r w:rsidRPr="00A75D5F">
              <w:rPr>
                <w:noProof/>
              </w:rPr>
              <w:t>2020-09-14</w:t>
            </w:r>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1037CDF9" w14:textId="10B0EF44" w:rsidR="007371F5" w:rsidRPr="007371F5" w:rsidRDefault="007371F5" w:rsidP="007371F5">
            <w:pPr>
              <w:pStyle w:val="oneM2M-Normal"/>
              <w:rPr>
                <w:noProof/>
              </w:rPr>
            </w:pPr>
            <w:r w:rsidRPr="007371F5">
              <w:rPr>
                <w:noProof/>
              </w:rPr>
              <w:t>CR</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4AC7897D" w:rsidR="00827488" w:rsidRDefault="00142FC8" w:rsidP="00827488">
      <w:pPr>
        <w:pStyle w:val="oneM2M-Normal"/>
      </w:pPr>
      <w:r>
        <w:t>RDM#4</w:t>
      </w:r>
      <w:r w:rsidR="007371F5">
        <w:t>7</w:t>
      </w:r>
      <w:r>
        <w:t xml:space="preserve"> arrangement </w:t>
      </w:r>
    </w:p>
    <w:p w14:paraId="41352F08" w14:textId="494F0BD2" w:rsidR="00827488" w:rsidRDefault="00CA21CB" w:rsidP="00827488">
      <w:pPr>
        <w:pStyle w:val="oneM2M-Heading1"/>
      </w:pPr>
      <w:r>
        <w:rPr>
          <w:lang w:val="en-US"/>
        </w:rPr>
        <w:t>7</w:t>
      </w:r>
      <w:r w:rsidR="00827488" w:rsidRPr="00CF3E39">
        <w:tab/>
        <w:t>Any other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even" r:id="rId17"/>
      <w:headerReference w:type="default" r:id="rId18"/>
      <w:footerReference w:type="even" r:id="rId19"/>
      <w:footerReference w:type="default" r:id="rId20"/>
      <w:headerReference w:type="first" r:id="rId21"/>
      <w:footerReference w:type="first" r:id="rId2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1391" w14:textId="77777777" w:rsidR="007371F5" w:rsidRDefault="00737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37089E19"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371F5">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2F78570C"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371F5">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2D46" w14:textId="77777777" w:rsidR="007371F5" w:rsidRDefault="00737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1CD99947"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w:t>
          </w:r>
          <w:r w:rsidR="007371F5">
            <w:t>68</w:t>
          </w:r>
          <w:r w:rsidR="00142FC8">
            <w:t>-</w:t>
          </w:r>
          <w:r w:rsidR="00BA376B" w:rsidRPr="00E27243">
            <w:t>RDM4</w:t>
          </w:r>
          <w:r w:rsidR="007371F5">
            <w:t>6</w:t>
          </w:r>
          <w:r w:rsidR="00142FC8">
            <w:t>.2_</w:t>
          </w:r>
          <w:r w:rsidR="00BA376B" w:rsidRPr="00E27243">
            <w:t>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C271D0F" w:rsidR="00886F06" w:rsidRPr="00A24F44" w:rsidRDefault="00886F06" w:rsidP="00F67B7A">
          <w:pPr>
            <w:pStyle w:val="oneM2M-PageHead"/>
            <w:rPr>
              <w:noProof/>
            </w:rPr>
          </w:pPr>
          <w:bookmarkStart w:id="0" w:name="_GoBack"/>
          <w:bookmarkEnd w:id="0"/>
          <w:r w:rsidRPr="00A24F44">
            <w:t xml:space="preserve">Doc# </w:t>
          </w:r>
          <w:r w:rsidR="00142FC8" w:rsidRPr="00142FC8">
            <w:t>RDM-2020-00</w:t>
          </w:r>
          <w:r w:rsidR="007371F5">
            <w:t>68</w:t>
          </w:r>
          <w:r w:rsidR="00142FC8" w:rsidRPr="00142FC8">
            <w:t>-RDM4</w:t>
          </w:r>
          <w:r w:rsidR="007371F5">
            <w:t>6</w:t>
          </w:r>
          <w:r w:rsidR="00142FC8" w:rsidRPr="00142FC8">
            <w:t>_2_Agenda</w:t>
          </w:r>
          <w:r w:rsidR="00142FC8">
            <w:t>.doc</w:t>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C8"/>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A72B9257-CA2A-4820-A9EC-92A8880F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TotalTime>
  <Pages>3</Pages>
  <Words>569</Words>
  <Characters>3135</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3697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2020-09-21T10:15:00Z</dcterms:created>
  <dcterms:modified xsi:type="dcterms:W3CDTF">2020-09-21T10:15:00Z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