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 #67</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Sejong University</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2024-11-10</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New requirements for privacy regulations</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WI-0001</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Section 6.4 Security Requirements</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This contribution propses to add new requirements to TS-0002 v5.3.0 to address issues related to privacy regulations such as GDPR. Especially, this contribution proposes to add requirements to support pseudonymisation and anonymisation of privacy data in oneM2M based on its referencing regulations. Please refer Section 10 Conclusion in TR-0062 "oneM2M System Enhancement to Support Privacy Data Protection Regulations".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https://git.onem2m.org/specifications/ts/ts-0002/-/merge_requests/3</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https://git.onem2m.org/specifications/ts/ts-0002/-/merge_requests/3/diffs?commit_id=214ed572490e32366b18d65ebb6c646a3c82d7f4</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---a/TS-0002-oneM2M-Requirements.md</w:t>
        <w:br/>
        <w:t>+++b/TS-0002-oneM2M-Requirements.md</w:t>
      </w:r>
    </w:p>
    <w:p>
      <w:pPr>
        <w:pStyle w:val="CodeHeader"/>
      </w:pPr>
      <w:r>
        <w:t>@@ -709,7 +709,8 @@ NOTE3: The solution would be complete and will be a part of the oneM2M core func</w:t>
      </w:r>
    </w:p>
    <w:p>
      <w:pPr>
        <w:pStyle w:val="CodeChangeLine"/>
      </w:pPr>
      <w:r>
        <w:t>|SER-082&lt;br /&gt;See ARC--2018-0062 |The oneM2M System shall support 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 | |</w:t>
      </w:r>
    </w:p>
    <w:p>
      <w:pPr>
        <w:pStyle w:val="CodeChangeLine"/>
      </w:pPr>
      <w:r>
        <w:t>|SER-083&lt;br /&gt;See RDM-2019-0054R01 |The oneM2M System shall support access control and authorization mechanisms for the M2M Service Subscriber or M2M Service User information, based on dynamic parameters (e.g. on/off duty time schedule, location, role or job position etc.). |Rel-4 |</w:t>
      </w:r>
    </w:p>
    <w:p>
      <w:pPr>
        <w:pStyle w:val="CodeChangeLine"/>
      </w:pPr>
      <w:r>
        <w:t>|SER-084&lt;br /&gt;See RDM-2019-0054R01 | The oneM2M System shall be able to access M2M Service Subscriber information or M2M Service User information based on dynamic parameters (e.g. on/off duty time schedule, location, role or job position, etc.) from M2M Applications. |Rel-4 |</w:t>
      </w:r>
    </w:p>
    <w:p>
      <w:pPr>
        <w:pStyle w:val="CodeChangeLine"/>
        <w:shd w:val="clear" w:color="auto" w:fill="fbe9eb"/>
      </w:pPr>
      <w:r/>
    </w:p>
    <w:p>
      <w:pPr>
        <w:pStyle w:val="CodeChangeLine"/>
        <w:shd w:val="clear" w:color="auto" w:fill="ecfdf0"/>
      </w:pPr>
      <w:r>
        <w:t>|SER-085&lt;br /&gt;See TR-0062 | The oneM2M System shall support the ability to apply pseudonymisation and anonymisation techniques to data based on specified privacy preferences, ensuring compliance with applicable privacy regulations (e.g., GDPR) and protecting data subject identity. |Rel-4 |</w:t>
      </w:r>
    </w:p>
    <w:p>
      <w:pPr>
        <w:pStyle w:val="CodeChangeLine"/>
        <w:shd w:val="clear" w:color="auto" w:fill="ecfdf0"/>
      </w:pPr>
      <w:r>
        <w:t>|SER-086&lt;br /&gt;See TR-0062 | The oneM2M System shall ensure that "additional information" used for pseudonymisation is securely stored and access-controlled, allowing only authorized entities to link pseudonymised data back to the data subject while maintaining separation from the main data set. |Rel-4 |</w:t>
      </w:r>
    </w:p>
    <w:p>
      <w:pPr>
        <w:pStyle w:val="CodeChangeLine"/>
      </w:pPr>
      <w:r/>
    </w:p>
    <w:p>
      <w:pPr>
        <w:pStyle w:val="CodeChangeLine"/>
      </w:pPr>
      <w:r>
        <w:t>NOTE 1:    The above requirement does not cover items outside of the oneM2M System, e.g. Underlying Networks.</w:t>
      </w:r>
    </w:p>
    <w:p>
      <w:pPr>
        <w:pStyle w:val="CodeChangeLine"/>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New requirements for privacy for regulations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02/-/merge_requests/3/diffs?commit_id=214ed572490e32366b18d65ebb6c646a3c82d7f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02/-/merge_requests/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JaeSeung Song</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