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3E1C5632" w14:textId="77777777" w:rsidTr="005764A1">
        <w:trPr>
          <w:trHeight w:val="302"/>
          <w:jc w:val="center"/>
        </w:trPr>
        <w:tc>
          <w:tcPr>
            <w:tcW w:w="9463" w:type="dxa"/>
            <w:gridSpan w:val="2"/>
            <w:shd w:val="clear" w:color="auto" w:fill="B42025"/>
          </w:tcPr>
          <w:p w14:paraId="7DF1BE3E" w14:textId="77777777" w:rsidR="00675332" w:rsidRPr="009B635D" w:rsidRDefault="00675332" w:rsidP="005764A1">
            <w:pPr>
              <w:pStyle w:val="oneM2M-CoverTableTitle"/>
            </w:pPr>
            <w:r w:rsidRPr="009B635D">
              <w:t>CHANGE REQUEST</w:t>
            </w:r>
          </w:p>
        </w:tc>
      </w:tr>
      <w:tr w:rsidR="00675332" w:rsidRPr="009B635D" w14:paraId="5DDCFE09" w14:textId="77777777" w:rsidTr="005764A1">
        <w:trPr>
          <w:trHeight w:val="124"/>
          <w:jc w:val="center"/>
        </w:trPr>
        <w:tc>
          <w:tcPr>
            <w:tcW w:w="2464" w:type="dxa"/>
            <w:shd w:val="clear" w:color="auto" w:fill="A0A0A3"/>
          </w:tcPr>
          <w:p w14:paraId="602397C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08372EE" w14:textId="77777777" w:rsidR="00675332" w:rsidRPr="00EF5EFD" w:rsidRDefault="00675332" w:rsidP="005764A1">
            <w:pPr>
              <w:pStyle w:val="oneM2M-CoverTableText"/>
            </w:pPr>
            <w:fldSimple w:instr=" DOCPROPERTY  CrTitle  \* MERGEFORMAT ">
              <w:r>
                <w:t>RDM #67</w:t>
              </w:r>
            </w:fldSimple>
          </w:p>
        </w:tc>
      </w:tr>
      <w:tr w:rsidR="00675332" w:rsidRPr="001D28C9" w14:paraId="7FBAD5AF" w14:textId="77777777" w:rsidTr="005764A1">
        <w:trPr>
          <w:trHeight w:val="124"/>
          <w:jc w:val="center"/>
        </w:trPr>
        <w:tc>
          <w:tcPr>
            <w:tcW w:w="2464" w:type="dxa"/>
            <w:shd w:val="clear" w:color="auto" w:fill="A0A0A3"/>
          </w:tcPr>
          <w:p w14:paraId="020A767D"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66705D5E" w14:textId="77777777" w:rsidR="00675332" w:rsidRPr="004A4DEE" w:rsidRDefault="00675332" w:rsidP="005764A1">
            <w:pPr>
              <w:pStyle w:val="oneM2M-CoverTableText"/>
              <w:rPr>
                <w:lang w:val="es-ES"/>
              </w:rPr>
            </w:pPr>
            <w:fldSimple w:instr=" DOCPROPERTY  CrTitle  \* MERGEFORMAT ">
              <w:r>
                <w:t>JaeSeung Song</w:t>
              </w:r>
            </w:fldSimple>
          </w:p>
        </w:tc>
      </w:tr>
      <w:tr w:rsidR="00675332" w:rsidRPr="009B635D" w14:paraId="377C7AA3" w14:textId="77777777" w:rsidTr="005764A1">
        <w:trPr>
          <w:trHeight w:val="124"/>
          <w:jc w:val="center"/>
        </w:trPr>
        <w:tc>
          <w:tcPr>
            <w:tcW w:w="2464" w:type="dxa"/>
            <w:shd w:val="clear" w:color="auto" w:fill="A0A0A3"/>
          </w:tcPr>
          <w:p w14:paraId="3DA4990E"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6E9078F0" w14:textId="77777777" w:rsidR="00675332" w:rsidRPr="00EF5EFD" w:rsidRDefault="00675332" w:rsidP="005764A1">
            <w:pPr>
              <w:pStyle w:val="oneM2M-CoverTableText"/>
            </w:pPr>
            <w:fldSimple w:instr=" DOCPROPERTY  CrTitle  \* MERGEFORMAT ">
              <w:r>
                <w:t>2024-11-10</w:t>
              </w:r>
            </w:fldSimple>
          </w:p>
        </w:tc>
      </w:tr>
      <w:tr w:rsidR="00675332" w:rsidRPr="009B635D" w14:paraId="097B6064" w14:textId="77777777" w:rsidTr="005764A1">
        <w:trPr>
          <w:trHeight w:val="371"/>
          <w:jc w:val="center"/>
        </w:trPr>
        <w:tc>
          <w:tcPr>
            <w:tcW w:w="2464" w:type="dxa"/>
            <w:shd w:val="clear" w:color="auto" w:fill="A0A0A3"/>
          </w:tcPr>
          <w:p w14:paraId="3D7984D3"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9E962AC" w14:textId="77777777" w:rsidR="00675332" w:rsidRPr="00EF5EFD" w:rsidRDefault="00675332" w:rsidP="005764A1">
            <w:pPr>
              <w:pStyle w:val="oneM2M-CoverTableText"/>
            </w:pPr>
            <w:fldSimple w:instr=" DOCPROPERTY  CrTitle  \* MERGEFORMAT ">
              <w:r>
                <w:t>New_requirements_for_privacy_regulations</w:t>
              </w:r>
            </w:fldSimple>
          </w:p>
        </w:tc>
      </w:tr>
      <w:tr w:rsidR="00675332" w:rsidRPr="009B635D" w14:paraId="3B44C81E" w14:textId="77777777" w:rsidTr="005764A1">
        <w:trPr>
          <w:trHeight w:val="371"/>
          <w:jc w:val="center"/>
        </w:trPr>
        <w:tc>
          <w:tcPr>
            <w:tcW w:w="2464" w:type="dxa"/>
            <w:shd w:val="clear" w:color="auto" w:fill="A0A0A3"/>
          </w:tcPr>
          <w:p w14:paraId="5D2D9233"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84E9F5F" w14:textId="77777777" w:rsidR="00675332" w:rsidRPr="00883855" w:rsidRDefault="00675332" w:rsidP="005764A1">
            <w:pPr>
              <w:pStyle w:val="1tableentryleft"/>
              <w:rPr>
                <w:rFonts w:ascii="Times New Roman" w:hAnsi="Times New Roman"/>
                <w:sz w:val="24"/>
              </w:rPr>
            </w:pPr>
            <w:fldSimple w:instr=" DOCPROPERTY  CrTitle  \* MERGEFORMAT ">
              <w:r>
                <w:t>R5</w:t>
              </w:r>
            </w:fldSimple>
          </w:p>
        </w:tc>
      </w:tr>
      <w:tr w:rsidR="00675332" w:rsidRPr="009B635D" w14:paraId="5E8EF086" w14:textId="77777777" w:rsidTr="005764A1">
        <w:trPr>
          <w:trHeight w:val="371"/>
          <w:jc w:val="center"/>
        </w:trPr>
        <w:tc>
          <w:tcPr>
            <w:tcW w:w="2464" w:type="dxa"/>
            <w:shd w:val="clear" w:color="auto" w:fill="A0A0A3"/>
          </w:tcPr>
          <w:p w14:paraId="58BE011C"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C3D83B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WI-0001</w:t>
            </w:r>
            <w:r w:rsidRPr="00A70A34">
              <w:rPr>
                <w:szCs w:val="22"/>
              </w:rPr>
              <w:t xml:space="preserve">&gt; </w:t>
            </w:r>
            <w:r w:rsidRPr="0039551C">
              <w:rPr>
                <w:rFonts w:ascii="Times New Roman" w:hAnsi="Times New Roman"/>
                <w:szCs w:val="22"/>
              </w:rPr>
              <w:t xml:space="preserve"> </w:t>
            </w:r>
          </w:p>
          <w:p w14:paraId="2EF1BBB9"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0ABB784F"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p>
          <w:p w14:paraId="550328D8" w14:textId="77777777" w:rsidR="00675332" w:rsidRPr="00864E1F" w:rsidRDefault="00675332" w:rsidP="005764A1">
            <w:pPr>
              <w:pStyle w:val="1tableentryleft"/>
              <w:ind w:left="568"/>
              <w:rPr>
                <w:szCs w:val="22"/>
              </w:rPr>
            </w:pPr>
            <w:r>
              <w:rPr>
                <w:szCs w:val="22"/>
              </w:rPr>
              <w:t xml:space="preserve">mirror CR number: </w:t>
            </w:r>
          </w:p>
          <w:p w14:paraId="7542BE82"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1C936B7A"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6C7DBC62" w14:textId="77777777" w:rsidTr="005764A1">
        <w:trPr>
          <w:trHeight w:val="371"/>
          <w:jc w:val="center"/>
        </w:trPr>
        <w:tc>
          <w:tcPr>
            <w:tcW w:w="2464" w:type="dxa"/>
            <w:shd w:val="clear" w:color="auto" w:fill="A0A0A3"/>
          </w:tcPr>
          <w:p w14:paraId="2CAE3047"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317EE757" w14:textId="5DFD28A4" w:rsidR="00675332" w:rsidRPr="00EF5EFD" w:rsidRDefault="00675332" w:rsidP="005764A1">
            <w:pPr>
              <w:pStyle w:val="oneM2M-CoverTableText"/>
            </w:pPr>
            <w:fldSimple w:instr=" DOCPROPERTY  CrTitle  \* MERGEFORMAT ">
              <w:r>
                <w:t>ts</w:t>
              </w:r>
            </w:fldSimple>
            <w:r w:rsidR="003F2E4A">
              <w:t>-0002 V5.3.0</w:t>
            </w:r>
          </w:p>
        </w:tc>
      </w:tr>
      <w:tr w:rsidR="00675332" w:rsidRPr="009B635D" w14:paraId="230CB2D5" w14:textId="77777777" w:rsidTr="005764A1">
        <w:trPr>
          <w:trHeight w:val="371"/>
          <w:jc w:val="center"/>
        </w:trPr>
        <w:tc>
          <w:tcPr>
            <w:tcW w:w="2464" w:type="dxa"/>
            <w:shd w:val="clear" w:color="auto" w:fill="A0A0A3"/>
          </w:tcPr>
          <w:p w14:paraId="2EB0FC41"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56CA1ECE" w14:textId="77777777" w:rsidR="00675332" w:rsidRPr="009B635D" w:rsidRDefault="00675332" w:rsidP="005764A1">
            <w:pPr>
              <w:rPr>
                <w:lang w:eastAsia="ko-KR"/>
              </w:rPr>
            </w:pPr>
            <w:fldSimple w:instr=" DOCPROPERTY  CrTitle  \* MERGEFORMAT ">
              <w:r>
                <w:t>6.4</w:t>
              </w:r>
            </w:fldSimple>
          </w:p>
        </w:tc>
      </w:tr>
      <w:tr w:rsidR="00675332" w:rsidRPr="009B635D" w14:paraId="09E948EA"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93561BB"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F3204B"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D2AC386"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2C9BC333"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6E9C34FF"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79AA00B0"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38618756"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59EFEEA"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A642E7" w14:textId="77777777" w:rsidR="00675332" w:rsidRPr="00EF5EFD" w:rsidRDefault="00675332" w:rsidP="005764A1">
            <w:pPr>
              <w:pStyle w:val="1tableentryleft"/>
              <w:rPr>
                <w:rFonts w:ascii="Times New Roman" w:hAnsi="Times New Roman"/>
                <w:sz w:val="24"/>
              </w:rPr>
            </w:pPr>
            <w:r>
              <w:t>None</w:t>
            </w:r>
          </w:p>
        </w:tc>
      </w:tr>
      <w:tr w:rsidR="00675332" w:rsidRPr="009B635D" w14:paraId="260402AA"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091CBE8"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44838B5"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21B43ECA"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p>
          <w:p w14:paraId="1AD9865B" w14:textId="77777777" w:rsidR="00675332" w:rsidRPr="0039551C" w:rsidRDefault="00675332" w:rsidP="005764A1">
            <w:pPr>
              <w:pStyle w:val="1tableentryleft"/>
              <w:rPr>
                <w:rFonts w:ascii="Times New Roman" w:hAnsi="Times New Roman"/>
                <w:szCs w:val="22"/>
              </w:rPr>
            </w:pPr>
          </w:p>
        </w:tc>
      </w:tr>
      <w:tr w:rsidR="00675332" w:rsidRPr="009B635D" w14:paraId="70ABEA2C" w14:textId="77777777" w:rsidTr="005764A1">
        <w:trPr>
          <w:trHeight w:val="373"/>
          <w:jc w:val="center"/>
        </w:trPr>
        <w:tc>
          <w:tcPr>
            <w:tcW w:w="9463" w:type="dxa"/>
            <w:gridSpan w:val="2"/>
            <w:shd w:val="clear" w:color="auto" w:fill="A0A0A3"/>
          </w:tcPr>
          <w:p w14:paraId="02E6F0AE"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E438536"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F5A3053"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1FCB37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667E0232"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B271ED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6D60B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14:paraId="0C9427F7"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ACDF04B"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3988449D"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BBD0CEF"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5EA5F4C1"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1FAB7857"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10346E7C"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467F4C76"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1CA5144D"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40881C1"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56669EE" w14:textId="77777777" w:rsidR="00BD5BBA" w:rsidRDefault="00BD5BBA" w:rsidP="00675332"/>
    <w:p w14:paraId="54FABEBA" w14:textId="77777777" w:rsidR="001F1CB6" w:rsidRDefault="001F1CB6" w:rsidP="001F1CB6">
      <w:pPr>
        <w:pStyle w:val="Heading2"/>
      </w:pPr>
      <w:r>
        <w:t>Introduction</w:t>
      </w:r>
    </w:p>
    <w:p w14:paraId="3273DBA9" w14:textId="77777777" w:rsidR="001F1CB6" w:rsidRDefault="001F1CB6" w:rsidP="001F1CB6">
      <w:pPr>
        <w:rPr>
          <w:lang w:val="en-US"/>
        </w:rPr>
      </w:pPr>
      <w:r>
        <w:rPr>
          <w:lang w:val="en-US"/>
        </w:rPr>
        <w:t xml:space="preserve">This contribution proposes to add new requirements to TS-0002 v5.3.0 to address issues related to privacy regulations such as GDPR. </w:t>
      </w:r>
    </w:p>
    <w:p w14:paraId="06B03713" w14:textId="77777777" w:rsidR="003F2E4A" w:rsidRPr="002F3AE2" w:rsidRDefault="003F2E4A" w:rsidP="003F2E4A">
      <w:pPr>
        <w:rPr>
          <w:highlight w:val="yellow"/>
          <w:lang w:val="en-US"/>
        </w:rPr>
      </w:pPr>
      <w:r w:rsidRPr="002F3AE2">
        <w:rPr>
          <w:highlight w:val="yellow"/>
          <w:lang w:val="en-US"/>
        </w:rPr>
        <w:t xml:space="preserve">Especially, this contribution proposes to add requirements to support </w:t>
      </w:r>
      <w:proofErr w:type="spellStart"/>
      <w:r w:rsidRPr="002F3AE2">
        <w:rPr>
          <w:highlight w:val="yellow"/>
          <w:lang w:val="en-US"/>
        </w:rPr>
        <w:t>pseudonymisation</w:t>
      </w:r>
      <w:proofErr w:type="spellEnd"/>
      <w:r w:rsidRPr="002F3AE2">
        <w:rPr>
          <w:highlight w:val="yellow"/>
          <w:lang w:val="en-US"/>
        </w:rPr>
        <w:t xml:space="preserve"> and </w:t>
      </w:r>
      <w:proofErr w:type="spellStart"/>
      <w:r w:rsidRPr="002F3AE2">
        <w:rPr>
          <w:highlight w:val="yellow"/>
          <w:lang w:val="en-US"/>
        </w:rPr>
        <w:t>anonymisation</w:t>
      </w:r>
      <w:proofErr w:type="spellEnd"/>
      <w:r w:rsidRPr="002F3AE2">
        <w:rPr>
          <w:highlight w:val="yellow"/>
          <w:lang w:val="en-US"/>
        </w:rPr>
        <w:t xml:space="preserve"> of privacy data in oneM2M based on its referencing regulations. Please refer Section 10 Conclusion in TR-0062 "oneM2M System Enhancement to Support Privacy Data Protection Regulations". </w:t>
      </w:r>
    </w:p>
    <w:p w14:paraId="313D8E46" w14:textId="77777777" w:rsidR="003F2E4A" w:rsidRPr="002F3AE2" w:rsidRDefault="003F2E4A" w:rsidP="003F2E4A">
      <w:pPr>
        <w:rPr>
          <w:highlight w:val="yellow"/>
          <w:lang w:val="en-US"/>
        </w:rPr>
      </w:pPr>
      <w:r w:rsidRPr="002F3AE2">
        <w:rPr>
          <w:highlight w:val="yellow"/>
          <w:lang w:val="en-US"/>
        </w:rPr>
        <w:t xml:space="preserve">The contents below show the justification for the requirements: </w:t>
      </w:r>
    </w:p>
    <w:p w14:paraId="2187DA04" w14:textId="77777777" w:rsidR="003F2E4A" w:rsidRPr="002F3AE2" w:rsidRDefault="003F2E4A" w:rsidP="003F2E4A">
      <w:pPr>
        <w:overflowPunct/>
        <w:autoSpaceDE/>
        <w:adjustRightInd/>
        <w:spacing w:after="120"/>
        <w:rPr>
          <w:sz w:val="24"/>
          <w:szCs w:val="24"/>
          <w:highlight w:val="yellow"/>
          <w:lang w:eastAsia="ko-KR"/>
        </w:rPr>
      </w:pPr>
      <w:r w:rsidRPr="002F3AE2">
        <w:rPr>
          <w:highlight w:val="yellow"/>
          <w:lang w:val="en-US" w:eastAsia="ko-KR"/>
        </w:rPr>
        <w:t xml:space="preserve">Pseudonymization and anonymization can reduce the risk of data loss and assist a data processor in fulfilling their data compliance regulations. Therefore, pseudonymization and anonymization are considered key techniques to be used in IoT platforms to be compliant with GDPR. These two techniques are different and provide different results after processing. Therefore, the use of these techniques by an IoT platform may depend on the degree of risk and how the data will be processed. In addition, various algorithms and implementations are also available for each of the techniques.  </w:t>
      </w:r>
    </w:p>
    <w:p w14:paraId="73C382F9" w14:textId="77777777" w:rsidR="003F2E4A" w:rsidRPr="002F3AE2" w:rsidRDefault="003F2E4A" w:rsidP="003F2E4A">
      <w:pPr>
        <w:pStyle w:val="ListParagraph"/>
        <w:numPr>
          <w:ilvl w:val="0"/>
          <w:numId w:val="19"/>
        </w:numPr>
        <w:overflowPunct/>
        <w:autoSpaceDE/>
        <w:autoSpaceDN/>
        <w:adjustRightInd/>
        <w:spacing w:after="0"/>
        <w:textAlignment w:val="auto"/>
        <w:rPr>
          <w:highlight w:val="yellow"/>
          <w:lang w:eastAsia="ko-KR"/>
        </w:rPr>
      </w:pPr>
      <w:r w:rsidRPr="002F3AE2">
        <w:rPr>
          <w:b/>
          <w:bCs/>
          <w:highlight w:val="yellow"/>
          <w:lang w:eastAsia="ko-KR"/>
        </w:rPr>
        <w:t>Pseudonymization</w:t>
      </w:r>
      <w:r w:rsidRPr="002F3AE2">
        <w:rPr>
          <w:highlight w:val="yellow"/>
          <w:lang w:eastAsia="ko-KR"/>
        </w:rPr>
        <w:t> means the processing of personal data in such a manner that the personal data can no longer be attributed to a specific data subject without the use of additional information, provided that such additional information is kept separately and is subject to technical and organisational measures to ensure that the personal data are not attributed to an identified or identifiable natural person.</w:t>
      </w:r>
    </w:p>
    <w:p w14:paraId="2E847B27" w14:textId="77777777" w:rsidR="003F2E4A" w:rsidRPr="002F3AE2" w:rsidRDefault="003F2E4A" w:rsidP="003F2E4A">
      <w:pPr>
        <w:pStyle w:val="ListParagraph"/>
        <w:numPr>
          <w:ilvl w:val="0"/>
          <w:numId w:val="19"/>
        </w:numPr>
        <w:overflowPunct/>
        <w:autoSpaceDE/>
        <w:autoSpaceDN/>
        <w:adjustRightInd/>
        <w:spacing w:after="0"/>
        <w:textAlignment w:val="auto"/>
        <w:rPr>
          <w:highlight w:val="yellow"/>
          <w:lang w:eastAsia="ko-KR"/>
        </w:rPr>
      </w:pPr>
      <w:r w:rsidRPr="002F3AE2">
        <w:rPr>
          <w:b/>
          <w:bCs/>
          <w:highlight w:val="yellow"/>
          <w:lang w:eastAsia="ko-KR"/>
        </w:rPr>
        <w:t xml:space="preserve">Anonymization </w:t>
      </w:r>
      <w:r w:rsidRPr="002F3AE2">
        <w:rPr>
          <w:highlight w:val="yellow"/>
          <w:lang w:eastAsia="ko-KR"/>
        </w:rPr>
        <w:t>means</w:t>
      </w:r>
      <w:r w:rsidRPr="002F3AE2">
        <w:rPr>
          <w:b/>
          <w:bCs/>
          <w:highlight w:val="yellow"/>
          <w:lang w:eastAsia="ko-KR"/>
        </w:rPr>
        <w:t xml:space="preserve"> </w:t>
      </w:r>
      <w:r w:rsidRPr="002F3AE2">
        <w:rPr>
          <w:highlight w:val="yellow"/>
          <w:lang w:eastAsia="ko-KR"/>
        </w:rPr>
        <w:t>the data must be stripped of sufficient elements such that the data subject can no longer be identified. More precisely, that data must be processed in such a way that it can no longer be used to identify a natural person by using ‘all the means likely reasonably to be used’ by either the controller or a third party. An important factor is that the processing must be irreversible.</w:t>
      </w:r>
    </w:p>
    <w:p w14:paraId="2B7541D7" w14:textId="77777777" w:rsidR="003F2E4A" w:rsidRPr="002F3AE2" w:rsidRDefault="003F2E4A" w:rsidP="003F2E4A">
      <w:pPr>
        <w:overflowPunct/>
        <w:autoSpaceDE/>
        <w:adjustRightInd/>
        <w:spacing w:after="120"/>
        <w:rPr>
          <w:highlight w:val="yellow"/>
          <w:lang w:eastAsia="ko-KR"/>
        </w:rPr>
      </w:pPr>
    </w:p>
    <w:p w14:paraId="4C6B9133" w14:textId="77777777" w:rsidR="003F2E4A" w:rsidRPr="002F3AE2" w:rsidRDefault="003F2E4A" w:rsidP="003F2E4A">
      <w:pPr>
        <w:overflowPunct/>
        <w:autoSpaceDE/>
        <w:adjustRightInd/>
        <w:spacing w:after="120"/>
        <w:rPr>
          <w:color w:val="000000" w:themeColor="text1"/>
          <w:highlight w:val="yellow"/>
          <w:lang w:eastAsia="ko-KR"/>
        </w:rPr>
      </w:pPr>
      <w:r w:rsidRPr="002F3AE2">
        <w:rPr>
          <w:color w:val="000000" w:themeColor="text1"/>
          <w:highlight w:val="yellow"/>
          <w:shd w:val="clear" w:color="auto" w:fill="FFFFFF"/>
          <w:lang w:eastAsia="ko-KR"/>
        </w:rPr>
        <w:lastRenderedPageBreak/>
        <w:t>Specifically, the GDPR defines pseudonymization in Article 3, as “the processing of personal data in such a way that the data can no longer be attributed to a specific data subject without the use of additional information.” To pseudonymise a data set, the “additional information” must be “kept separately and subject to technical and organisational measures to ensure non-attribution to an identified or identifiable person.”</w:t>
      </w:r>
    </w:p>
    <w:p w14:paraId="55AE1EED" w14:textId="77777777" w:rsidR="003F2E4A" w:rsidRPr="002F3AE2" w:rsidRDefault="003F2E4A" w:rsidP="003F2E4A">
      <w:pPr>
        <w:overflowPunct/>
        <w:autoSpaceDE/>
        <w:adjustRightInd/>
        <w:spacing w:after="120"/>
        <w:rPr>
          <w:highlight w:val="yellow"/>
          <w:lang w:val="en-US" w:eastAsia="ko-KR"/>
        </w:rPr>
      </w:pPr>
      <w:proofErr w:type="gramStart"/>
      <w:r w:rsidRPr="002F3AE2">
        <w:rPr>
          <w:highlight w:val="yellow"/>
          <w:lang w:val="en-US" w:eastAsia="ko-KR"/>
        </w:rPr>
        <w:t>In order to</w:t>
      </w:r>
      <w:proofErr w:type="gramEnd"/>
      <w:r w:rsidRPr="002F3AE2">
        <w:rPr>
          <w:highlight w:val="yellow"/>
          <w:lang w:val="en-US" w:eastAsia="ko-KR"/>
        </w:rPr>
        <w:t xml:space="preserve"> process privacy data in oneM2M based on regulations, the oneM2M system should provide a set of attributes to hold information to be used for data processing. </w:t>
      </w:r>
      <w:proofErr w:type="gramStart"/>
      <w:r w:rsidRPr="002F3AE2">
        <w:rPr>
          <w:highlight w:val="yellow"/>
          <w:lang w:val="en-US" w:eastAsia="ko-KR"/>
        </w:rPr>
        <w:t>In particular, some</w:t>
      </w:r>
      <w:proofErr w:type="gramEnd"/>
      <w:r w:rsidRPr="002F3AE2">
        <w:rPr>
          <w:highlight w:val="yellow"/>
          <w:lang w:val="en-US" w:eastAsia="ko-KR"/>
        </w:rPr>
        <w:t xml:space="preserve"> necessary information for the processor to process privacy data are as follows: </w:t>
      </w:r>
    </w:p>
    <w:p w14:paraId="13E55C4B" w14:textId="77777777" w:rsidR="003F2E4A" w:rsidRPr="002F3AE2" w:rsidRDefault="003F2E4A" w:rsidP="003F2E4A">
      <w:pPr>
        <w:pStyle w:val="ListParagraph"/>
        <w:numPr>
          <w:ilvl w:val="0"/>
          <w:numId w:val="19"/>
        </w:numPr>
        <w:overflowPunct/>
        <w:autoSpaceDE/>
        <w:autoSpaceDN/>
        <w:adjustRightInd/>
        <w:spacing w:after="120"/>
        <w:textAlignment w:val="auto"/>
        <w:rPr>
          <w:highlight w:val="yellow"/>
          <w:lang w:eastAsia="ko-KR"/>
        </w:rPr>
      </w:pPr>
      <w:r w:rsidRPr="002F3AE2">
        <w:rPr>
          <w:highlight w:val="yellow"/>
          <w:lang w:eastAsia="ko-KR"/>
        </w:rPr>
        <w:t xml:space="preserve">Which regulations to be applied? </w:t>
      </w:r>
    </w:p>
    <w:p w14:paraId="611255D4" w14:textId="77777777" w:rsidR="003F2E4A" w:rsidRPr="002F3AE2" w:rsidRDefault="003F2E4A" w:rsidP="003F2E4A">
      <w:pPr>
        <w:pStyle w:val="ListParagraph"/>
        <w:numPr>
          <w:ilvl w:val="0"/>
          <w:numId w:val="19"/>
        </w:numPr>
        <w:overflowPunct/>
        <w:autoSpaceDE/>
        <w:autoSpaceDN/>
        <w:adjustRightInd/>
        <w:spacing w:after="120"/>
        <w:textAlignment w:val="auto"/>
        <w:rPr>
          <w:highlight w:val="yellow"/>
          <w:lang w:eastAsia="ko-KR"/>
        </w:rPr>
      </w:pPr>
      <w:r w:rsidRPr="002F3AE2">
        <w:rPr>
          <w:highlight w:val="yellow"/>
          <w:lang w:eastAsia="ko-KR"/>
        </w:rPr>
        <w:t xml:space="preserve">Is the data subject of private data?  </w:t>
      </w:r>
    </w:p>
    <w:p w14:paraId="177382C8" w14:textId="77777777" w:rsidR="003F2E4A" w:rsidRPr="002F3AE2" w:rsidRDefault="003F2E4A" w:rsidP="003F2E4A">
      <w:pPr>
        <w:pStyle w:val="ListParagraph"/>
        <w:numPr>
          <w:ilvl w:val="0"/>
          <w:numId w:val="19"/>
        </w:numPr>
        <w:overflowPunct/>
        <w:autoSpaceDE/>
        <w:autoSpaceDN/>
        <w:adjustRightInd/>
        <w:spacing w:after="120"/>
        <w:textAlignment w:val="auto"/>
        <w:rPr>
          <w:highlight w:val="yellow"/>
          <w:lang w:eastAsia="ko-KR"/>
        </w:rPr>
      </w:pPr>
      <w:r w:rsidRPr="002F3AE2">
        <w:rPr>
          <w:highlight w:val="yellow"/>
          <w:lang w:eastAsia="ko-KR"/>
        </w:rPr>
        <w:t xml:space="preserve">What kinds of rules </w:t>
      </w:r>
      <w:proofErr w:type="gramStart"/>
      <w:r w:rsidRPr="002F3AE2">
        <w:rPr>
          <w:highlight w:val="yellow"/>
          <w:lang w:eastAsia="ko-KR"/>
        </w:rPr>
        <w:t>have to</w:t>
      </w:r>
      <w:proofErr w:type="gramEnd"/>
      <w:r w:rsidRPr="002F3AE2">
        <w:rPr>
          <w:highlight w:val="yellow"/>
          <w:lang w:eastAsia="ko-KR"/>
        </w:rPr>
        <w:t xml:space="preserve"> be applied? </w:t>
      </w:r>
    </w:p>
    <w:p w14:paraId="456CE130" w14:textId="77777777" w:rsidR="003F2E4A" w:rsidRPr="002F3AE2" w:rsidRDefault="003F2E4A" w:rsidP="003F2E4A">
      <w:pPr>
        <w:pStyle w:val="ListParagraph"/>
        <w:numPr>
          <w:ilvl w:val="0"/>
          <w:numId w:val="19"/>
        </w:numPr>
        <w:overflowPunct/>
        <w:autoSpaceDE/>
        <w:autoSpaceDN/>
        <w:adjustRightInd/>
        <w:spacing w:after="120"/>
        <w:textAlignment w:val="auto"/>
        <w:rPr>
          <w:highlight w:val="yellow"/>
          <w:lang w:eastAsia="ko-KR"/>
        </w:rPr>
      </w:pPr>
      <w:r w:rsidRPr="002F3AE2">
        <w:rPr>
          <w:highlight w:val="yellow"/>
          <w:lang w:eastAsia="ko-KR"/>
        </w:rPr>
        <w:t xml:space="preserve">What kinds of techniques or algorithms </w:t>
      </w:r>
      <w:proofErr w:type="gramStart"/>
      <w:r w:rsidRPr="002F3AE2">
        <w:rPr>
          <w:highlight w:val="yellow"/>
          <w:lang w:eastAsia="ko-KR"/>
        </w:rPr>
        <w:t>have to</w:t>
      </w:r>
      <w:proofErr w:type="gramEnd"/>
      <w:r w:rsidRPr="002F3AE2">
        <w:rPr>
          <w:highlight w:val="yellow"/>
          <w:lang w:eastAsia="ko-KR"/>
        </w:rPr>
        <w:t xml:space="preserve"> be used? </w:t>
      </w:r>
    </w:p>
    <w:p w14:paraId="7D07C08E" w14:textId="77777777" w:rsidR="003F2E4A" w:rsidRPr="002F3AE2" w:rsidRDefault="003F2E4A" w:rsidP="003F2E4A">
      <w:pPr>
        <w:pStyle w:val="ListParagraph"/>
        <w:numPr>
          <w:ilvl w:val="0"/>
          <w:numId w:val="19"/>
        </w:numPr>
        <w:overflowPunct/>
        <w:autoSpaceDE/>
        <w:autoSpaceDN/>
        <w:adjustRightInd/>
        <w:spacing w:after="120"/>
        <w:textAlignment w:val="auto"/>
        <w:rPr>
          <w:highlight w:val="yellow"/>
          <w:lang w:eastAsia="ko-KR"/>
        </w:rPr>
      </w:pPr>
      <w:r w:rsidRPr="002F3AE2">
        <w:rPr>
          <w:highlight w:val="yellow"/>
          <w:lang w:eastAsia="ko-KR"/>
        </w:rPr>
        <w:t>Which parts of data are private data?</w:t>
      </w:r>
    </w:p>
    <w:p w14:paraId="389D541A" w14:textId="77777777" w:rsidR="003F2E4A" w:rsidRPr="003F2E4A" w:rsidRDefault="003F2E4A" w:rsidP="001F1CB6"/>
    <w:p w14:paraId="21BEA010" w14:textId="77777777" w:rsidR="001F1CB6" w:rsidRDefault="001F1CB6" w:rsidP="001F1CB6">
      <w:pPr>
        <w:rPr>
          <w:rStyle w:val="Hyperlink"/>
          <w:lang w:val="en-US"/>
        </w:rPr>
      </w:pPr>
      <w:hyperlink r:id="rId11" w:history="1">
        <w:r>
          <w:rPr>
            <w:rStyle w:val="Hyperlink"/>
            <w:lang w:val="en-US"/>
          </w:rPr>
          <w:t>https://git.onem2m.org/specifications/ts/ts-0002/-/merge_requests/7</w:t>
        </w:r>
      </w:hyperlink>
    </w:p>
    <w:p w14:paraId="290F4C19" w14:textId="77777777" w:rsidR="00EE0A28" w:rsidRPr="005B2CBF" w:rsidRDefault="005B2CBF" w:rsidP="00297116">
      <w:pPr>
        <w:rPr>
          <w:color w:val="0000FF"/>
          <w:u w:val="single"/>
          <w:lang w:val="en-US"/>
        </w:rPr>
      </w:pPr>
      <w:hyperlink r:id="rId12" w:history="1">
        <w:r>
          <w:rPr>
            <w:rStyle w:val="Hyperlink"/>
            <w:lang w:val="en-US"/>
          </w:rPr>
          <w:t>https://git.onem2m.org/specifications/ts/ts-0002/-/merge_requests/7/diffs?commit_id=1a40c0a2a819d880c13a00fc1372f4dd78f8ed08</w:t>
        </w:r>
      </w:hyperlink>
    </w:p>
    <w:p w14:paraId="4AE71D18" w14:textId="77777777" w:rsidR="00000000" w:rsidRDefault="00000000"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1F53FC89" w14:textId="77777777" w:rsidR="00000000" w:rsidRDefault="00000000" w:rsidP="00023407">
      <w:pPr>
        <w:rPr>
          <w:rFonts w:eastAsia="Malgun Gothic"/>
          <w:sz w:val="28"/>
        </w:rPr>
      </w:pPr>
    </w:p>
    <w:p w14:paraId="740BCCF0" w14:textId="77777777" w:rsidR="00112FFF" w:rsidRDefault="00112FFF">
      <w:pPr>
        <w:pStyle w:val="Code"/>
      </w:pPr>
    </w:p>
    <w:p w14:paraId="03C203BC" w14:textId="77777777" w:rsidR="00112FFF" w:rsidRDefault="00000000">
      <w:pPr>
        <w:pStyle w:val="CodeHeader"/>
      </w:pPr>
      <w:r>
        <w:t>---a/TS-0002-oneM2M-Requirements.md</w:t>
      </w:r>
      <w:r>
        <w:br/>
        <w:t>+++b/TS-0002-oneM2M-Requirements.md</w:t>
      </w:r>
    </w:p>
    <w:p w14:paraId="4515F007" w14:textId="77777777" w:rsidR="00112FFF" w:rsidRDefault="00000000">
      <w:pPr>
        <w:pStyle w:val="CodeHeader"/>
      </w:pPr>
      <w:r>
        <w:t>@@ -709,6 +709,9 @@ NOTE3: The solution would be complete and will be a part of the oneM2M core func</w:t>
      </w:r>
    </w:p>
    <w:p w14:paraId="75A6273D" w14:textId="77777777" w:rsidR="00112FFF" w:rsidRDefault="00000000">
      <w:pPr>
        <w:pStyle w:val="CodeChangeLine"/>
      </w:pPr>
      <w:r>
        <w:t>|SER-082&lt;br /&gt;See ARC--2018-0062 |The oneM2M System shall support M2M Service Subscriber and M2M Service User profiles specifying their restrictions (e.g. privacy restrictions, max number and/or types of applications and devices the M2M Service Subscriber and its authorized M2M Service Users are allowed to register to the M2M System, the maximum number of resources or bytes of data that the M2M Service Subscriber can store in the M2M System, etc.) and their default configurations (e.g. access control policies, expiration times, max number of content instances, etc.). | |</w:t>
      </w:r>
    </w:p>
    <w:p w14:paraId="023C422E" w14:textId="77777777" w:rsidR="00112FFF" w:rsidRDefault="00000000">
      <w:pPr>
        <w:pStyle w:val="CodeChangeLine"/>
      </w:pPr>
      <w:r>
        <w:t>|SER-083&lt;br /&gt;See RDM-2019-0054R01 |The oneM2M System shall support access control and authorization mechanisms for the M2M Service Subscriber or M2M Service User information, based on dynamic parameters (e.g. on/off duty time schedule, location, role or job position etc.). |Rel-4 |</w:t>
      </w:r>
    </w:p>
    <w:p w14:paraId="5CC38B4B" w14:textId="77777777" w:rsidR="00112FFF" w:rsidRDefault="00000000">
      <w:pPr>
        <w:pStyle w:val="CodeChangeLine"/>
      </w:pPr>
      <w:r>
        <w:t>|SER-084&lt;br /&gt;See RDM-2019-0054R01 | The oneM2M System shall be able to access M2M Service Subscriber information or M2M Service User information based on dynamic parameters (e.g. on/off duty time schedule, location, role or job position, etc.) from M2M Applications. |Rel-4 |</w:t>
      </w:r>
    </w:p>
    <w:p w14:paraId="54C39902" w14:textId="77777777" w:rsidR="00112FFF" w:rsidRDefault="00000000">
      <w:pPr>
        <w:pStyle w:val="CodeChangeLine"/>
        <w:shd w:val="clear" w:color="auto" w:fill="ECFDF0"/>
      </w:pPr>
      <w:r>
        <w:t>|SER-0xx&lt;br /&gt;See TR-0062 | The oneM2M System shall support the ability to apply pseudonymisation and anonymisation techniques to data based on specified privacy preferences, ensuring compliance with applicable privacy regulations (e.g., GDPR) and protecting data subject identity. |Rel-4 |</w:t>
      </w:r>
    </w:p>
    <w:p w14:paraId="6ED1CD9F" w14:textId="77777777" w:rsidR="00112FFF" w:rsidRDefault="00000000">
      <w:pPr>
        <w:pStyle w:val="CodeChangeLine"/>
        <w:shd w:val="clear" w:color="auto" w:fill="ECFDF0"/>
      </w:pPr>
      <w:r>
        <w:t>|SER-0xx&lt;br /&gt;See TR-0062 | The oneM2M System shall ensure that "additional information" used for pseudonymisation is securely stored and access-controlled, allowing only authorized entities to link pseudonymised data back to the data subject while maintaining separation from the main data set. |Rel-4 |</w:t>
      </w:r>
    </w:p>
    <w:p w14:paraId="01CA3C2F" w14:textId="77777777" w:rsidR="00112FFF" w:rsidRDefault="00112FFF">
      <w:pPr>
        <w:pStyle w:val="CodeChangeLine"/>
        <w:shd w:val="clear" w:color="auto" w:fill="ECFDF0"/>
      </w:pPr>
    </w:p>
    <w:p w14:paraId="46738E72" w14:textId="77777777" w:rsidR="00112FFF" w:rsidRDefault="00112FFF">
      <w:pPr>
        <w:pStyle w:val="CodeChangeLine"/>
      </w:pPr>
    </w:p>
    <w:p w14:paraId="5A2C8E2C" w14:textId="77777777" w:rsidR="00112FFF" w:rsidRDefault="00112FFF">
      <w:pPr>
        <w:pStyle w:val="CodeChangeLine"/>
      </w:pPr>
    </w:p>
    <w:p w14:paraId="7A5707E5" w14:textId="77777777" w:rsidR="00112FFF" w:rsidRDefault="00000000">
      <w:pPr>
        <w:pStyle w:val="CodeChangeLine"/>
      </w:pPr>
      <w:r>
        <w:t>NOTE 1:    The above requirement does not cover items outside of the oneM2M System, e.g. Underlying Networks.</w:t>
      </w:r>
    </w:p>
    <w:p w14:paraId="77D6DB31" w14:textId="77777777" w:rsidR="00000000" w:rsidRDefault="00000000"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08A3E283" w14:textId="77777777" w:rsidR="00000000" w:rsidRDefault="00000000" w:rsidP="00A67416">
      <w:pPr>
        <w:rPr>
          <w:rFonts w:eastAsia="Malgun Gothic"/>
          <w:sz w:val="28"/>
        </w:rPr>
      </w:pPr>
    </w:p>
    <w:sectPr w:rsidR="00A67416"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0407D" w14:textId="77777777" w:rsidR="00612524" w:rsidRDefault="00612524">
      <w:r>
        <w:separator/>
      </w:r>
    </w:p>
  </w:endnote>
  <w:endnote w:type="continuationSeparator" w:id="0">
    <w:p w14:paraId="4207F168" w14:textId="77777777" w:rsidR="00612524" w:rsidRDefault="0061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yriad Pro">
    <w:altName w:val="Segoe UI"/>
    <w:panose1 w:val="020B0604020202020204"/>
    <w:charset w:val="00"/>
    <w:family w:val="auto"/>
    <w:pitch w:val="variable"/>
    <w:sig w:usb0="00000001" w:usb1="00000001" w:usb2="00000000" w:usb3="00000000" w:csb0="0000019F" w:csb1="00000000"/>
  </w:font>
  <w:font w:name="Times">
    <w:altName w:val="Times New Roma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A8E43" w14:textId="77777777"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351B0" w14:textId="77777777" w:rsidR="00612524" w:rsidRDefault="00612524">
      <w:r>
        <w:separator/>
      </w:r>
    </w:p>
  </w:footnote>
  <w:footnote w:type="continuationSeparator" w:id="0">
    <w:p w14:paraId="6C3BD1B1" w14:textId="77777777" w:rsidR="00612524" w:rsidRDefault="0061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4573F" w14:textId="77777777" w:rsidR="001F1CB6" w:rsidRPr="00310BFE" w:rsidRDefault="001F1CB6" w:rsidP="001F1CB6">
    <w:pPr>
      <w:pStyle w:val="Header"/>
    </w:pPr>
    <w:r>
      <w:t>RDM-2024-0055-New_requirements_for_privacy_regulations</w:t>
    </w:r>
  </w:p>
  <w:p w14:paraId="1623D3A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3C19D5"/>
    <w:multiLevelType w:val="hybridMultilevel"/>
    <w:tmpl w:val="F5684254"/>
    <w:lvl w:ilvl="0" w:tplc="35882B34">
      <w:start w:val="8"/>
      <w:numFmt w:val="bullet"/>
      <w:lvlText w:val="-"/>
      <w:lvlJc w:val="left"/>
      <w:pPr>
        <w:ind w:left="720" w:hanging="360"/>
      </w:pPr>
      <w:rPr>
        <w:rFonts w:ascii="Arial" w:eastAsia="Times New Roman" w:hAnsi="Arial" w:cs="Arial" w:hint="default"/>
        <w:color w:val="69696B"/>
        <w:sz w:val="23"/>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5"/>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4"/>
  </w:num>
  <w:num w:numId="12" w16cid:durableId="1671981979">
    <w:abstractNumId w:val="16"/>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 w:numId="19" w16cid:durableId="205503230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12FFF"/>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3F2E4A"/>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2524"/>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529B"/>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215B1C14"/>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after="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02/-/merge_requests/7/diffs?commit_id=1a40c0a2a819d880c13a00fc1372f4dd78f8ed0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02/-/merge_requests/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deliverables\ETSIW_2013.dotm</Template>
  <TotalTime>282</TotalTime>
  <Pages>3</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8953</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JaeSeung Song</dc:creator>
  <cp:keywords/>
  <cp:lastModifiedBy>JSong</cp:lastModifiedBy>
  <cp:revision>11</cp:revision>
  <cp:lastPrinted>2019-07-09T13:00:00Z</cp:lastPrinted>
  <dcterms:created xsi:type="dcterms:W3CDTF">2023-08-16T17:37:00Z</dcterms:created>
  <dcterms:modified xsi:type="dcterms:W3CDTF">2024-11-10T17:32:00Z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