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77777777" w:rsidR="005A15CD" w:rsidRPr="00EF5EFD" w:rsidRDefault="005A15CD" w:rsidP="00AA6800">
            <w:pPr>
              <w:pStyle w:val="oneM2M-CoverTableText"/>
            </w:pPr>
            <w:r>
              <w:t>TS-</w:t>
            </w:r>
            <w:r w:rsidR="0042320E">
              <w:t>0009</w:t>
            </w:r>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6B886342" w:rsidR="00995E8B" w:rsidRPr="009B635D" w:rsidRDefault="00995E8B" w:rsidP="007B157F">
            <w:pPr>
              <w:rPr>
                <w:lang w:eastAsia="ko-KR"/>
              </w:rPr>
            </w:pPr>
            <w:r>
              <w:rPr>
                <w:lang w:eastAsia="ko-KR"/>
              </w:rPr>
              <w:t xml:space="preserve">Modified clauses: </w:t>
            </w:r>
            <w:r w:rsidR="00024AED">
              <w:rPr>
                <w:lang w:eastAsia="ko-KR"/>
              </w:rPr>
              <w:t xml:space="preserve"> </w:t>
            </w:r>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51B4F">
              <w:rPr>
                <w:rFonts w:ascii="Times New Roman" w:hAnsi="Times New Roman"/>
                <w:sz w:val="24"/>
              </w:rPr>
            </w:r>
            <w:r w:rsidR="00151B4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1B4F">
              <w:rPr>
                <w:rFonts w:ascii="Times New Roman" w:hAnsi="Times New Roman"/>
                <w:szCs w:val="22"/>
              </w:rPr>
            </w:r>
            <w:r w:rsidR="00151B4F">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51B4F">
              <w:rPr>
                <w:rFonts w:ascii="Times New Roman" w:hAnsi="Times New Roman"/>
                <w:sz w:val="24"/>
              </w:rPr>
            </w:r>
            <w:r w:rsidR="00151B4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51B4F">
              <w:rPr>
                <w:rFonts w:ascii="Times New Roman" w:hAnsi="Times New Roman"/>
                <w:sz w:val="24"/>
              </w:rPr>
            </w:r>
            <w:r w:rsidR="00151B4F">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w:t>
      </w:r>
      <w:proofErr w:type="spellStart"/>
      <w:r w:rsidRPr="00024AED">
        <w:rPr>
          <w:color w:val="000000"/>
          <w:lang w:eastAsia="fr-FR"/>
        </w:rPr>
        <w:t>CoAP</w:t>
      </w:r>
      <w:proofErr w:type="spellEnd"/>
      <w:r w:rsidRPr="00024AED">
        <w:rPr>
          <w:color w:val="000000"/>
          <w:lang w:eastAsia="fr-FR"/>
        </w:rPr>
        <w:t xml:space="preserve"> messaging model.   All four of the say that requests shall be sent using Confirmable messages and the flows described assume this.  </w:t>
      </w:r>
    </w:p>
    <w:p w14:paraId="645C3AA9" w14:textId="282BA6F1" w:rsidR="00770884" w:rsidRDefault="00024AED" w:rsidP="00770884">
      <w:pPr>
        <w:pStyle w:val="CommentText"/>
        <w:rPr>
          <w:color w:val="000000"/>
          <w:lang w:eastAsia="fr-FR"/>
        </w:rPr>
      </w:pPr>
      <w:r w:rsidRPr="00024AED">
        <w:rPr>
          <w:color w:val="000000"/>
          <w:lang w:eastAsia="fr-FR"/>
        </w:rPr>
        <w:t xml:space="preserve">They do not say what happens if an Originator chooses to send a Request using a Non-confirmable message. 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 doesn't say.</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4F00412A" w:rsidR="00456AAB" w:rsidRDefault="00456AAB" w:rsidP="00456AAB">
      <w:pPr>
        <w:pStyle w:val="CommentText"/>
        <w:numPr>
          <w:ilvl w:val="0"/>
          <w:numId w:val="48"/>
        </w:numPr>
        <w:rPr>
          <w:color w:val="000000"/>
          <w:lang w:eastAsia="fr-FR"/>
        </w:rPr>
      </w:pPr>
      <w:r>
        <w:rPr>
          <w:color w:val="000000"/>
          <w:lang w:eastAsia="fr-FR"/>
        </w:rPr>
        <w:t>Originators should use Confirmable messages when sending requests, but 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request actually happened)</w:t>
      </w:r>
    </w:p>
    <w:p w14:paraId="57D0D128" w14:textId="274455A9" w:rsidR="00456AAB" w:rsidRDefault="00456AAB" w:rsidP="00456AAB">
      <w:pPr>
        <w:pStyle w:val="CommentText"/>
        <w:numPr>
          <w:ilvl w:val="1"/>
          <w:numId w:val="48"/>
        </w:numPr>
        <w:rPr>
          <w:color w:val="000000"/>
          <w:lang w:eastAsia="fr-FR"/>
        </w:rPr>
      </w:pPr>
      <w:r>
        <w:rPr>
          <w:color w:val="000000"/>
          <w:lang w:eastAsia="fr-FR"/>
        </w:rPr>
        <w:t xml:space="preserve">The consequence of this is that a </w:t>
      </w:r>
      <w:proofErr w:type="spellStart"/>
      <w:r>
        <w:rPr>
          <w:color w:val="000000"/>
          <w:lang w:eastAsia="fr-FR"/>
        </w:rPr>
        <w:t>CoAP</w:t>
      </w:r>
      <w:proofErr w:type="spellEnd"/>
      <w:r>
        <w:rPr>
          <w:color w:val="000000"/>
          <w:lang w:eastAsia="fr-FR"/>
        </w:rPr>
        <w:t xml:space="preserve"> receiver should accept incoming non-confirmable messages (if it gets them)</w:t>
      </w:r>
    </w:p>
    <w:p w14:paraId="0396EE3E" w14:textId="5B6555CC" w:rsidR="00456AAB" w:rsidRDefault="00456AAB" w:rsidP="00456AAB">
      <w:pPr>
        <w:pStyle w:val="CommentText"/>
        <w:numPr>
          <w:ilvl w:val="0"/>
          <w:numId w:val="48"/>
        </w:numPr>
        <w:rPr>
          <w:color w:val="000000"/>
          <w:lang w:eastAsia="fr-FR"/>
        </w:rPr>
      </w:pPr>
      <w:r>
        <w:rPr>
          <w:color w:val="000000"/>
          <w:lang w:eastAsia="fr-FR"/>
        </w:rPr>
        <w:t xml:space="preserve">In Blocking Mode, if a request is sent as Non-Confirmable then the response is sent as Non-Confirmable </w:t>
      </w:r>
    </w:p>
    <w:p w14:paraId="5999697F" w14:textId="50E8E9E5" w:rsidR="00456AAB" w:rsidRDefault="00456AAB" w:rsidP="00456AAB">
      <w:pPr>
        <w:pStyle w:val="CommentText"/>
        <w:numPr>
          <w:ilvl w:val="0"/>
          <w:numId w:val="48"/>
        </w:numPr>
        <w:rPr>
          <w:color w:val="000000"/>
          <w:lang w:eastAsia="fr-FR"/>
        </w:rPr>
      </w:pPr>
      <w:r>
        <w:rPr>
          <w:color w:val="000000"/>
          <w:lang w:eastAsia="fr-FR"/>
        </w:rPr>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if a request is sent as Non-Confirmable the acknowledgement of that request is sent as Non-</w:t>
      </w:r>
      <w:proofErr w:type="gramStart"/>
      <w:r>
        <w:rPr>
          <w:color w:val="000000"/>
          <w:lang w:eastAsia="fr-FR"/>
        </w:rPr>
        <w:t>confirmable</w:t>
      </w:r>
      <w:proofErr w:type="gramEnd"/>
      <w:r>
        <w:rPr>
          <w:color w:val="000000"/>
          <w:lang w:eastAsia="fr-FR"/>
        </w:rPr>
        <w:t xml:space="preserve"> but the actual response notification is sent as Confirmable</w:t>
      </w:r>
    </w:p>
    <w:p w14:paraId="4AE8BEAF" w14:textId="52154BEB" w:rsidR="00456AAB" w:rsidRDefault="00AA1108" w:rsidP="00456AAB">
      <w:pPr>
        <w:pStyle w:val="CommentText"/>
        <w:numPr>
          <w:ilvl w:val="0"/>
          <w:numId w:val="48"/>
        </w:numPr>
        <w:rPr>
          <w:color w:val="000000"/>
          <w:lang w:eastAsia="fr-FR"/>
        </w:rPr>
      </w:pPr>
      <w:r>
        <w:rPr>
          <w:color w:val="000000"/>
          <w:lang w:eastAsia="fr-FR"/>
        </w:rPr>
        <w:lastRenderedPageBreak/>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456AAB">
      <w:pPr>
        <w:pStyle w:val="CommentText"/>
        <w:numPr>
          <w:ilvl w:val="0"/>
          <w:numId w:val="48"/>
        </w:numPr>
        <w:rPr>
          <w:color w:val="000000"/>
          <w:lang w:eastAsia="fr-FR"/>
        </w:rPr>
      </w:pPr>
      <w:r>
        <w:rPr>
          <w:color w:val="000000"/>
          <w:lang w:eastAsia="fr-FR"/>
        </w:rPr>
        <w:t>[Also “Confirmable Method” has been changed to “Confirmable message”]</w:t>
      </w:r>
    </w:p>
    <w:p w14:paraId="414356E9" w14:textId="77777777" w:rsidR="00024AED" w:rsidRDefault="00024AED" w:rsidP="00C15C4D">
      <w:pPr>
        <w:pStyle w:val="Heading3"/>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05868B4D" w14:textId="77777777" w:rsidR="00DA218C" w:rsidRPr="009B1E05" w:rsidRDefault="00DA218C" w:rsidP="00DA218C">
      <w:pPr>
        <w:pStyle w:val="Heading3"/>
        <w:rPr>
          <w:lang w:eastAsia="ko-KR"/>
        </w:rPr>
      </w:pPr>
      <w:bookmarkStart w:id="15" w:name="_Toc528055371"/>
      <w:bookmarkStart w:id="16" w:name="_Toc528068537"/>
      <w:bookmarkStart w:id="17" w:name="_Toc528068607"/>
      <w:bookmarkStart w:id="18" w:name="_Toc528068694"/>
      <w:bookmarkStart w:id="19" w:name="_Toc528068763"/>
      <w:bookmarkStart w:id="20" w:name="_Toc9313207"/>
      <w:bookmarkStart w:id="21" w:name="_Toc30573783"/>
      <w:r w:rsidRPr="009B1E05">
        <w:rPr>
          <w:lang w:eastAsia="ko-KR"/>
        </w:rPr>
        <w:t>6.3.0</w:t>
      </w:r>
      <w:r w:rsidRPr="009B1E05">
        <w:rPr>
          <w:lang w:eastAsia="ko-KR"/>
        </w:rPr>
        <w:tab/>
        <w:t>Introduction</w:t>
      </w:r>
      <w:bookmarkEnd w:id="15"/>
      <w:bookmarkEnd w:id="16"/>
      <w:bookmarkEnd w:id="17"/>
      <w:bookmarkEnd w:id="18"/>
      <w:bookmarkEnd w:id="19"/>
      <w:bookmarkEnd w:id="20"/>
      <w:bookmarkEnd w:id="21"/>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proofErr w:type="spellStart"/>
      <w:r w:rsidRPr="009B1E05">
        <w:rPr>
          <w:lang w:eastAsia="ko-KR"/>
        </w:rPr>
        <w:t>CoAP</w:t>
      </w:r>
      <w:proofErr w:type="spellEnd"/>
      <w:r w:rsidRPr="009B1E05">
        <w:rPr>
          <w:lang w:eastAsia="ko-KR"/>
        </w:rPr>
        <w:t xml:space="preserve">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w:t>
      </w:r>
      <w:proofErr w:type="spellStart"/>
      <w:r>
        <w:rPr>
          <w:lang w:eastAsia="ko-KR"/>
        </w:rPr>
        <w:t>CoAP</w:t>
      </w:r>
      <w:proofErr w:type="spellEnd"/>
      <w:r>
        <w:rPr>
          <w:lang w:eastAsia="ko-KR"/>
        </w:rPr>
        <w:t xml:space="preserve"> messaging model defined in [1] applies to all message exchanges. </w:t>
      </w:r>
    </w:p>
    <w:p w14:paraId="3E98EBA7" w14:textId="62A227D1" w:rsidR="00D1337A" w:rsidRDefault="00C11A1D" w:rsidP="00DA218C">
      <w:pPr>
        <w:rPr>
          <w:ins w:id="22" w:author="Peter Niblett" w:date="2020-12-14T08:48:00Z"/>
          <w:lang w:eastAsia="ko-KR"/>
        </w:rPr>
      </w:pPr>
      <w:ins w:id="23" w:author="Peter Niblett" w:date="2020-12-13T23:55:00Z">
        <w:r>
          <w:rPr>
            <w:lang w:eastAsia="ko-KR"/>
          </w:rPr>
          <w:t>Requests should be sent as Confirmable messages, although an Originator can se</w:t>
        </w:r>
      </w:ins>
      <w:ins w:id="24" w:author="Peter Niblett" w:date="2020-12-13T23:56:00Z">
        <w:r>
          <w:rPr>
            <w:lang w:eastAsia="ko-KR"/>
          </w:rPr>
          <w:t>nd them as Non-confirmable if there is a good reason for doing this (</w:t>
        </w:r>
      </w:ins>
      <w:ins w:id="25" w:author="Peter Niblett" w:date="2020-12-13T23:57:00Z">
        <w:r>
          <w:rPr>
            <w:lang w:eastAsia="ko-KR"/>
          </w:rPr>
          <w:t>an Or</w:t>
        </w:r>
      </w:ins>
      <w:ins w:id="26" w:author="Peter Niblett" w:date="2020-12-13T23:59:00Z">
        <w:r w:rsidR="00D1337A">
          <w:rPr>
            <w:lang w:eastAsia="ko-KR"/>
          </w:rPr>
          <w:t>i</w:t>
        </w:r>
      </w:ins>
      <w:ins w:id="27" w:author="Peter Niblett" w:date="2020-12-13T23:57:00Z">
        <w:r>
          <w:rPr>
            <w:lang w:eastAsia="ko-KR"/>
          </w:rPr>
          <w:t>ginator should not use Non-confirmable if</w:t>
        </w:r>
      </w:ins>
      <w:ins w:id="28" w:author="Peter Niblett" w:date="2020-12-13T23:59:00Z">
        <w:r w:rsidR="00D1337A">
          <w:rPr>
            <w:lang w:eastAsia="ko-KR"/>
          </w:rPr>
          <w:t xml:space="preserve"> it </w:t>
        </w:r>
      </w:ins>
      <w:ins w:id="29" w:author="Peter Niblett" w:date="2020-12-14T09:16:00Z">
        <w:r w:rsidR="00AA1108">
          <w:rPr>
            <w:lang w:eastAsia="ko-KR"/>
          </w:rPr>
          <w:t>relies</w:t>
        </w:r>
      </w:ins>
      <w:ins w:id="30" w:author="Peter Niblett" w:date="2020-12-13T23:59:00Z">
        <w:r w:rsidR="00D1337A">
          <w:rPr>
            <w:lang w:eastAsia="ko-KR"/>
          </w:rPr>
          <w:t xml:space="preserve"> on getting a response to its request</w:t>
        </w:r>
      </w:ins>
      <w:ins w:id="31" w:author="Peter Niblett" w:date="2020-12-14T09:16:00Z">
        <w:r w:rsidR="00AA1108">
          <w:rPr>
            <w:lang w:eastAsia="ko-KR"/>
          </w:rPr>
          <w:t>s</w:t>
        </w:r>
      </w:ins>
      <w:ins w:id="32" w:author="Peter Niblett" w:date="2020-12-13T23:59:00Z">
        <w:r w:rsidR="00D1337A">
          <w:rPr>
            <w:lang w:eastAsia="ko-KR"/>
          </w:rPr>
          <w:t>).</w:t>
        </w:r>
      </w:ins>
      <w:ins w:id="33" w:author="Peter Niblett" w:date="2020-12-13T23:57:00Z">
        <w:r>
          <w:rPr>
            <w:lang w:eastAsia="ko-KR"/>
          </w:rPr>
          <w:t xml:space="preserve"> </w:t>
        </w:r>
      </w:ins>
      <w:ins w:id="34" w:author="Peter Niblett" w:date="2020-12-14T09:15:00Z">
        <w:r w:rsidR="00AA1108">
          <w:rPr>
            <w:lang w:eastAsia="ko-KR"/>
          </w:rPr>
          <w:t xml:space="preserve">The recipient of a </w:t>
        </w:r>
        <w:proofErr w:type="spellStart"/>
        <w:r w:rsidR="00AA1108">
          <w:rPr>
            <w:lang w:eastAsia="ko-KR"/>
          </w:rPr>
          <w:t>CoAP</w:t>
        </w:r>
        <w:proofErr w:type="spellEnd"/>
        <w:r w:rsidR="00AA1108">
          <w:rPr>
            <w:lang w:eastAsia="ko-KR"/>
          </w:rPr>
          <w:t xml:space="preserve"> message shall accept that message even if it is Non-confirmable.</w:t>
        </w:r>
      </w:ins>
    </w:p>
    <w:p w14:paraId="018DA417" w14:textId="1C266DB4" w:rsidR="006F2CA5" w:rsidRDefault="006F2CA5" w:rsidP="00DA218C">
      <w:pPr>
        <w:rPr>
          <w:ins w:id="35" w:author="Peter Niblett" w:date="2020-12-14T00:01:00Z"/>
          <w:lang w:eastAsia="ko-KR"/>
        </w:rPr>
      </w:pPr>
      <w:ins w:id="36" w:author="Peter Niblett" w:date="2020-12-14T08:48:00Z">
        <w:r>
          <w:rPr>
            <w:lang w:eastAsia="ko-KR"/>
          </w:rPr>
          <w:t>Responses should be sent as</w:t>
        </w:r>
      </w:ins>
      <w:ins w:id="37" w:author="Peter Niblett" w:date="2020-12-14T08:49:00Z">
        <w:r>
          <w:rPr>
            <w:lang w:eastAsia="ko-KR"/>
          </w:rPr>
          <w:t xml:space="preserve"> Confirmable messages, although cases where Non-</w:t>
        </w:r>
      </w:ins>
      <w:ins w:id="38" w:author="Peter Niblett" w:date="2020-12-14T09:15:00Z">
        <w:r w:rsidR="00AA1108">
          <w:rPr>
            <w:lang w:eastAsia="ko-KR"/>
          </w:rPr>
          <w:t>c</w:t>
        </w:r>
      </w:ins>
      <w:ins w:id="39" w:author="Peter Niblett" w:date="2020-12-14T08:49:00Z">
        <w:r>
          <w:rPr>
            <w:lang w:eastAsia="ko-KR"/>
          </w:rPr>
          <w:t xml:space="preserve">onfirmable may be used are indicated in </w:t>
        </w:r>
      </w:ins>
      <w:ins w:id="40" w:author="Peter Niblett" w:date="2020-12-14T08:50:00Z">
        <w:r>
          <w:rPr>
            <w:lang w:eastAsia="ko-KR"/>
          </w:rPr>
          <w:t>clauses 6.3.1 to 6.3.4.</w:t>
        </w:r>
      </w:ins>
    </w:p>
    <w:p w14:paraId="159AAB11" w14:textId="16F0595A" w:rsidR="00DA218C" w:rsidRDefault="00DA218C" w:rsidP="00DA218C">
      <w:pPr>
        <w:rPr>
          <w:lang w:eastAsia="ko-KR"/>
        </w:rPr>
      </w:pPr>
      <w:del w:id="41" w:author="Peter Niblett" w:date="2020-12-13T23:59:00Z">
        <w:r w:rsidDel="00D1337A">
          <w:rPr>
            <w:lang w:eastAsia="ko-KR"/>
          </w:rPr>
          <w:delText>In all cases</w:delText>
        </w:r>
      </w:del>
      <w:ins w:id="42" w:author="Peter Niblett" w:date="2020-12-13T23:59:00Z">
        <w:r w:rsidR="00D1337A">
          <w:rPr>
            <w:lang w:eastAsia="ko-KR"/>
          </w:rPr>
          <w:t>If the Originator sends a request</w:t>
        </w:r>
      </w:ins>
      <w:ins w:id="43" w:author="Peter Niblett" w:date="2020-12-14T00:00:00Z">
        <w:r w:rsidR="00D1337A">
          <w:rPr>
            <w:lang w:eastAsia="ko-KR"/>
          </w:rPr>
          <w:t xml:space="preserve"> as Confirmable it </w:t>
        </w:r>
      </w:ins>
      <w:del w:id="44" w:author="Peter Niblett" w:date="2020-12-14T00:00:00Z">
        <w:r w:rsidDel="00D1337A">
          <w:rPr>
            <w:lang w:eastAsia="ko-KR"/>
          </w:rPr>
          <w:delText xml:space="preserve"> the Originator </w:delText>
        </w:r>
      </w:del>
      <w:r>
        <w:rPr>
          <w:lang w:eastAsia="ko-KR"/>
        </w:rPr>
        <w:t xml:space="preserve">shall resend </w:t>
      </w:r>
      <w:ins w:id="45" w:author="Peter Niblett" w:date="2020-12-14T00:00:00Z">
        <w:r w:rsidR="00D1337A">
          <w:rPr>
            <w:lang w:eastAsia="ko-KR"/>
          </w:rPr>
          <w:t xml:space="preserve">that </w:t>
        </w:r>
      </w:ins>
      <w:r>
        <w:rPr>
          <w:lang w:eastAsia="ko-KR"/>
        </w:rPr>
        <w:t>reques</w:t>
      </w:r>
      <w:del w:id="46" w:author="Peter Niblett" w:date="2020-12-14T00:00:00Z">
        <w:r w:rsidDel="00D1337A">
          <w:rPr>
            <w:lang w:eastAsia="ko-KR"/>
          </w:rPr>
          <w:delText>t</w:delText>
        </w:r>
      </w:del>
      <w:ins w:id="47" w:author="Peter Niblett" w:date="2020-12-14T00:00:00Z">
        <w:r w:rsidR="00D1337A">
          <w:rPr>
            <w:lang w:eastAsia="ko-KR"/>
          </w:rPr>
          <w:t>t</w:t>
        </w:r>
      </w:ins>
      <w:del w:id="48" w:author="Peter Niblett" w:date="2020-12-14T00:00:00Z">
        <w:r w:rsidDel="00D1337A">
          <w:rPr>
            <w:lang w:eastAsia="ko-KR"/>
          </w:rPr>
          <w:delText>s</w:delText>
        </w:r>
      </w:del>
      <w:r>
        <w:rPr>
          <w:lang w:eastAsia="ko-KR"/>
        </w:rPr>
        <w:t xml:space="preserve"> until </w:t>
      </w:r>
      <w:del w:id="49" w:author="Peter Niblett" w:date="2020-12-14T00:00:00Z">
        <w:r w:rsidDel="00D1337A">
          <w:rPr>
            <w:lang w:eastAsia="ko-KR"/>
          </w:rPr>
          <w:delText xml:space="preserve">they </w:delText>
        </w:r>
      </w:del>
      <w:ins w:id="50" w:author="Peter Niblett" w:date="2020-12-14T00:00:00Z">
        <w:r w:rsidR="00D1337A">
          <w:rPr>
            <w:lang w:eastAsia="ko-KR"/>
          </w:rPr>
          <w:t xml:space="preserve">it </w:t>
        </w:r>
      </w:ins>
      <w:r>
        <w:rPr>
          <w:lang w:eastAsia="ko-KR"/>
        </w:rPr>
        <w:t>ha</w:t>
      </w:r>
      <w:ins w:id="51" w:author="Peter Niblett" w:date="2020-12-14T00:00:00Z">
        <w:r w:rsidR="00D1337A">
          <w:rPr>
            <w:lang w:eastAsia="ko-KR"/>
          </w:rPr>
          <w:t>s</w:t>
        </w:r>
      </w:ins>
      <w:del w:id="52" w:author="Peter Niblett" w:date="2020-12-14T00:00:00Z">
        <w:r w:rsidDel="00D1337A">
          <w:rPr>
            <w:lang w:eastAsia="ko-KR"/>
          </w:rPr>
          <w:delText>ve</w:delText>
        </w:r>
      </w:del>
      <w:r>
        <w:rPr>
          <w:lang w:eastAsia="ko-KR"/>
        </w:rPr>
        <w:t xml:space="preserve"> been acknowledged, and the Receiver shall resend confirmable responses until they have been acknowledged. The recipient (Receiver or Originator) shall take care to de-duplicate confirmable messages as described in [1]</w:t>
      </w:r>
      <w:r w:rsidRPr="009B1E05">
        <w:rPr>
          <w:lang w:eastAsia="ko-KR"/>
        </w:rPr>
        <w:t>.</w:t>
      </w:r>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53" w:name="_Toc528055372"/>
      <w:bookmarkStart w:id="54" w:name="_Toc528068538"/>
      <w:bookmarkStart w:id="55" w:name="_Toc528068608"/>
      <w:bookmarkStart w:id="56" w:name="_Toc528068695"/>
      <w:bookmarkStart w:id="57" w:name="_Toc528068764"/>
      <w:bookmarkStart w:id="58" w:name="_Toc9313208"/>
      <w:bookmarkStart w:id="59" w:name="_Toc30573784"/>
      <w:r w:rsidRPr="009B1E05">
        <w:rPr>
          <w:lang w:eastAsia="ko-KR"/>
        </w:rPr>
        <w:t>6.3.1</w:t>
      </w:r>
      <w:r w:rsidRPr="009B1E05">
        <w:rPr>
          <w:lang w:eastAsia="ko-KR"/>
        </w:rPr>
        <w:tab/>
        <w:t>Blocking case</w:t>
      </w:r>
      <w:bookmarkEnd w:id="53"/>
      <w:bookmarkEnd w:id="54"/>
      <w:bookmarkEnd w:id="55"/>
      <w:bookmarkEnd w:id="56"/>
      <w:bookmarkEnd w:id="57"/>
      <w:bookmarkEnd w:id="58"/>
      <w:bookmarkEnd w:id="59"/>
    </w:p>
    <w:p w14:paraId="5F0D12CE" w14:textId="3678E791" w:rsidR="00DA218C" w:rsidRDefault="00DA218C" w:rsidP="00DA218C">
      <w:pPr>
        <w:pStyle w:val="B1"/>
        <w:numPr>
          <w:ilvl w:val="0"/>
          <w:numId w:val="45"/>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(blocking case), the Originator (</w:t>
      </w:r>
      <w:proofErr w:type="spellStart"/>
      <w:r>
        <w:rPr>
          <w:lang w:eastAsia="zh-CN"/>
        </w:rPr>
        <w:t>CoAP</w:t>
      </w:r>
      <w:proofErr w:type="spellEnd"/>
      <w:r>
        <w:rPr>
          <w:lang w:eastAsia="zh-CN"/>
        </w:rPr>
        <w:t xml:space="preserve"> client) shall </w:t>
      </w:r>
      <w:del w:id="60" w:author="Peter Niblett" w:date="2020-12-14T00:03:00Z">
        <w:r w:rsidDel="00D1337A">
          <w:rPr>
            <w:lang w:eastAsia="zh-CN"/>
          </w:rPr>
          <w:delText xml:space="preserve">use the Confirmable Method to </w:delText>
        </w:r>
      </w:del>
      <w:r>
        <w:rPr>
          <w:lang w:eastAsia="zh-CN"/>
        </w:rPr>
        <w:t>send the request to the Receiver (</w:t>
      </w:r>
      <w:proofErr w:type="spellStart"/>
      <w:r>
        <w:rPr>
          <w:lang w:eastAsia="zh-CN"/>
        </w:rPr>
        <w:t>CoAP</w:t>
      </w:r>
      <w:proofErr w:type="spellEnd"/>
      <w:r>
        <w:rPr>
          <w:lang w:eastAsia="zh-CN"/>
        </w:rPr>
        <w:t xml:space="preserve"> server). The oneM2M </w:t>
      </w:r>
      <w:r>
        <w:rPr>
          <w:b/>
          <w:i/>
          <w:lang w:eastAsia="zh-CN"/>
        </w:rPr>
        <w:t>Operation</w:t>
      </w:r>
      <w:r>
        <w:rPr>
          <w:lang w:eastAsia="zh-CN"/>
        </w:rPr>
        <w:t xml:space="preserve"> parameter shall be mapped to a </w:t>
      </w:r>
      <w:proofErr w:type="spellStart"/>
      <w:r>
        <w:rPr>
          <w:lang w:eastAsia="zh-CN"/>
        </w:rPr>
        <w:t>CoAP</w:t>
      </w:r>
      <w:proofErr w:type="spellEnd"/>
      <w:r>
        <w:rPr>
          <w:lang w:eastAsia="zh-CN"/>
        </w:rPr>
        <w:t xml:space="preserve"> Method according to Table 6.2.1-1.</w:t>
      </w:r>
    </w:p>
    <w:p w14:paraId="13973FFB" w14:textId="04F084B4" w:rsidR="00DA218C" w:rsidRDefault="00DA218C" w:rsidP="00DA218C">
      <w:pPr>
        <w:pStyle w:val="B1"/>
        <w:numPr>
          <w:ilvl w:val="0"/>
          <w:numId w:val="45"/>
        </w:numPr>
        <w:tabs>
          <w:tab w:val="left" w:pos="720"/>
        </w:tabs>
        <w:textAlignment w:val="auto"/>
        <w:rPr>
          <w:lang w:eastAsia="zh-CN"/>
        </w:rPr>
      </w:pPr>
      <w:r>
        <w:rPr>
          <w:lang w:eastAsia="zh-CN"/>
        </w:rPr>
        <w:t xml:space="preserve">After processing the request, the Receiver shall send a </w:t>
      </w:r>
      <w:proofErr w:type="spellStart"/>
      <w:r>
        <w:rPr>
          <w:lang w:eastAsia="zh-CN"/>
        </w:rPr>
        <w:t>CoAP</w:t>
      </w:r>
      <w:proofErr w:type="spellEnd"/>
      <w:r>
        <w:rPr>
          <w:lang w:eastAsia="zh-CN"/>
        </w:rPr>
        <w:t xml:space="preserve"> response with a </w:t>
      </w:r>
      <w:proofErr w:type="spellStart"/>
      <w:r>
        <w:rPr>
          <w:lang w:eastAsia="zh-CN"/>
        </w:rPr>
        <w:t>CoAP</w:t>
      </w:r>
      <w:proofErr w:type="spellEnd"/>
      <w:r>
        <w:rPr>
          <w:lang w:eastAsia="zh-CN"/>
        </w:rPr>
        <w:t xml:space="preserve"> response code as given by Table 6.2.4-1. </w:t>
      </w:r>
      <w:ins w:id="61" w:author="Peter Niblett" w:date="2020-12-14T00:03:00Z">
        <w:r w:rsidR="00D1337A">
          <w:rPr>
            <w:lang w:eastAsia="zh-CN"/>
          </w:rPr>
          <w:t xml:space="preserve">If the request </w:t>
        </w:r>
      </w:ins>
      <w:ins w:id="62" w:author="Peter Niblett" w:date="2020-12-14T00:04:00Z">
        <w:r w:rsidR="00D1337A">
          <w:rPr>
            <w:lang w:eastAsia="zh-CN"/>
          </w:rPr>
          <w:t>w</w:t>
        </w:r>
      </w:ins>
      <w:ins w:id="63" w:author="Peter Niblett" w:date="2020-12-14T00:03:00Z">
        <w:r w:rsidR="00D1337A">
          <w:rPr>
            <w:lang w:eastAsia="zh-CN"/>
          </w:rPr>
          <w:t>as sent a</w:t>
        </w:r>
      </w:ins>
      <w:ins w:id="64" w:author="Peter Niblett" w:date="2020-12-14T00:04:00Z">
        <w:r w:rsidR="00D1337A">
          <w:rPr>
            <w:lang w:eastAsia="zh-CN"/>
          </w:rPr>
          <w:t>s a Confirmable message, the Receiver</w:t>
        </w:r>
      </w:ins>
      <w:del w:id="65" w:author="Peter Niblett" w:date="2020-12-14T00:04:00Z">
        <w:r w:rsidDel="00D1337A">
          <w:rPr>
            <w:lang w:eastAsia="zh-CN"/>
          </w:rPr>
          <w:delText>It</w:delText>
        </w:r>
      </w:del>
      <w:r>
        <w:rPr>
          <w:lang w:eastAsia="zh-CN"/>
        </w:rPr>
        <w:t xml:space="preserve"> may either piggyback this response to the request on the </w:t>
      </w:r>
      <w:proofErr w:type="spellStart"/>
      <w:r>
        <w:rPr>
          <w:lang w:eastAsia="zh-CN"/>
        </w:rPr>
        <w:t>CoAP</w:t>
      </w:r>
      <w:proofErr w:type="spellEnd"/>
      <w:r>
        <w:rPr>
          <w:lang w:eastAsia="zh-CN"/>
        </w:rPr>
        <w:t xml:space="preserve"> ACK message, or send </w:t>
      </w:r>
      <w:ins w:id="66" w:author="Peter Niblett" w:date="2020-12-14T08:45:00Z">
        <w:r w:rsidR="00151B4F">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ins w:id="67" w:author="Peter Niblett" w:date="2020-12-14T08:46:00Z">
        <w:r w:rsidR="00151B4F">
          <w:rPr>
            <w:lang w:eastAsia="zh-CN"/>
          </w:rPr>
          <w:t xml:space="preserve">Confirmable </w:t>
        </w:r>
      </w:ins>
      <w:del w:id="68" w:author="Peter Niblett" w:date="2020-12-14T08:46:00Z">
        <w:r w:rsidDel="00151B4F">
          <w:rPr>
            <w:lang w:eastAsia="zh-CN"/>
          </w:rPr>
          <w:delText xml:space="preserve">response </w:delText>
        </w:r>
      </w:del>
      <w:r>
        <w:rPr>
          <w:lang w:eastAsia="zh-CN"/>
        </w:rPr>
        <w:t xml:space="preserve">message after the </w:t>
      </w:r>
      <w:proofErr w:type="spellStart"/>
      <w:r>
        <w:rPr>
          <w:lang w:eastAsia="zh-CN"/>
        </w:rPr>
        <w:t>CoAP</w:t>
      </w:r>
      <w:proofErr w:type="spellEnd"/>
      <w:r>
        <w:rPr>
          <w:lang w:eastAsia="zh-CN"/>
        </w:rPr>
        <w:t xml:space="preserve"> ACK.</w:t>
      </w:r>
      <w:ins w:id="69" w:author="Peter Niblett" w:date="2020-12-14T00:04:00Z">
        <w:r w:rsidR="00D1337A">
          <w:rPr>
            <w:lang w:eastAsia="zh-CN"/>
          </w:rPr>
          <w:t xml:space="preserve"> If the request was sent as Non-confirmable, the response is returned</w:t>
        </w:r>
      </w:ins>
      <w:ins w:id="70" w:author="Peter Niblett" w:date="2020-12-14T00:05:00Z">
        <w:r w:rsidR="00D1337A">
          <w:rPr>
            <w:lang w:eastAsia="zh-CN"/>
          </w:rPr>
          <w:t xml:space="preserve"> as a separate Non-confirmable </w:t>
        </w:r>
        <w:proofErr w:type="spellStart"/>
        <w:r w:rsidR="00D1337A">
          <w:rPr>
            <w:lang w:eastAsia="zh-CN"/>
          </w:rPr>
          <w:t>CoAP</w:t>
        </w:r>
        <w:proofErr w:type="spellEnd"/>
        <w:r w:rsidR="00D1337A">
          <w:rPr>
            <w:lang w:eastAsia="zh-CN"/>
          </w:rPr>
          <w:t xml:space="preserve"> message. </w:t>
        </w:r>
      </w:ins>
    </w:p>
    <w:p w14:paraId="2C7E3D2D" w14:textId="77777777" w:rsidR="00DA218C" w:rsidRDefault="00DA218C" w:rsidP="00DA218C">
      <w:pPr>
        <w:pStyle w:val="B1"/>
        <w:numPr>
          <w:ilvl w:val="0"/>
          <w:numId w:val="45"/>
        </w:numPr>
        <w:tabs>
          <w:tab w:val="left" w:pos="720"/>
        </w:tabs>
        <w:textAlignment w:val="auto"/>
        <w:rPr>
          <w:lang w:eastAsia="zh-CN"/>
        </w:rPr>
      </w:pPr>
      <w:r>
        <w:rPr>
          <w:lang w:eastAsia="zh-CN"/>
        </w:rPr>
        <w:t xml:space="preserve">The Originator’s </w:t>
      </w:r>
      <w:proofErr w:type="spellStart"/>
      <w:r>
        <w:rPr>
          <w:lang w:eastAsia="zh-CN"/>
        </w:rPr>
        <w:t>CoAP</w:t>
      </w:r>
      <w:proofErr w:type="spellEnd"/>
      <w:r>
        <w:rPr>
          <w:lang w:eastAsia="zh-CN"/>
        </w:rPr>
        <w:t xml:space="preserve">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xml:space="preserve">" if it considers that it has taken too long for the </w:t>
      </w:r>
      <w:proofErr w:type="spellStart"/>
      <w:r>
        <w:rPr>
          <w:lang w:eastAsia="zh-CN"/>
        </w:rPr>
        <w:t>CoAP</w:t>
      </w:r>
      <w:proofErr w:type="spellEnd"/>
      <w:r>
        <w:rPr>
          <w:lang w:eastAsia="zh-CN"/>
        </w:rPr>
        <w:t xml:space="preserve">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71" w:name="_Toc528055373"/>
      <w:bookmarkStart w:id="72" w:name="_Toc528068539"/>
      <w:bookmarkStart w:id="73" w:name="_Toc528068609"/>
      <w:bookmarkStart w:id="74" w:name="_Toc528068696"/>
      <w:bookmarkStart w:id="75" w:name="_Toc528068765"/>
      <w:bookmarkStart w:id="76" w:name="_Toc9313209"/>
      <w:bookmarkStart w:id="77"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71"/>
      <w:bookmarkEnd w:id="72"/>
      <w:bookmarkEnd w:id="73"/>
      <w:bookmarkEnd w:id="74"/>
      <w:bookmarkEnd w:id="75"/>
      <w:bookmarkEnd w:id="76"/>
      <w:bookmarkEnd w:id="77"/>
    </w:p>
    <w:p w14:paraId="7E1469AD" w14:textId="23135AE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(non-blocking asynchronous case), the Originator (</w:t>
      </w:r>
      <w:proofErr w:type="spellStart"/>
      <w:r>
        <w:rPr>
          <w:lang w:eastAsia="zh-CN"/>
        </w:rPr>
        <w:t>CoAP</w:t>
      </w:r>
      <w:proofErr w:type="spellEnd"/>
      <w:r>
        <w:rPr>
          <w:lang w:eastAsia="zh-CN"/>
        </w:rPr>
        <w:t xml:space="preserve"> client) </w:t>
      </w:r>
      <w:del w:id="78" w:author="Peter Niblett" w:date="2020-12-14T08:38:00Z">
        <w:r w:rsidDel="00151B4F">
          <w:rPr>
            <w:lang w:eastAsia="zh-CN"/>
          </w:rPr>
          <w:delText>shall use the Confirmable Method to</w:delText>
        </w:r>
      </w:del>
      <w:ins w:id="79" w:author="Peter Niblett" w:date="2020-12-14T08:38:00Z">
        <w:r w:rsidR="00151B4F">
          <w:rPr>
            <w:lang w:eastAsia="zh-CN"/>
          </w:rPr>
          <w:t>should</w:t>
        </w:r>
      </w:ins>
      <w:r>
        <w:rPr>
          <w:lang w:eastAsia="zh-CN"/>
        </w:rPr>
        <w:t xml:space="preserve"> send the request to the Receiver (</w:t>
      </w:r>
      <w:proofErr w:type="spellStart"/>
      <w:r>
        <w:rPr>
          <w:lang w:eastAsia="zh-CN"/>
        </w:rPr>
        <w:t>CoAP</w:t>
      </w:r>
      <w:proofErr w:type="spellEnd"/>
      <w:r>
        <w:rPr>
          <w:lang w:eastAsia="zh-CN"/>
        </w:rPr>
        <w:t xml:space="preserve"> server)</w:t>
      </w:r>
      <w:ins w:id="80" w:author="Peter Niblett" w:date="2020-12-14T08:38:00Z">
        <w:r w:rsidR="00151B4F">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70270FA7" w14:textId="5345BAF7" w:rsidR="00DA218C" w:rsidRDefault="00DA218C" w:rsidP="00DA218C">
      <w:pPr>
        <w:ind w:left="540" w:hanging="274"/>
        <w:rPr>
          <w:lang w:eastAsia="zh-CN"/>
        </w:rPr>
      </w:pPr>
      <w:r>
        <w:rPr>
          <w:lang w:eastAsia="zh-CN"/>
        </w:rPr>
        <w:t xml:space="preserve">2)  The Receiver, after validating the request and before processing it fully, shall return a </w:t>
      </w:r>
      <w:proofErr w:type="spellStart"/>
      <w:r>
        <w:rPr>
          <w:lang w:eastAsia="zh-CN"/>
        </w:rPr>
        <w:t>CoAP</w:t>
      </w:r>
      <w:proofErr w:type="spellEnd"/>
      <w:r>
        <w:rPr>
          <w:lang w:eastAsia="zh-CN"/>
        </w:rPr>
        <w:t xml:space="preserve"> response to the originator. </w:t>
      </w:r>
      <w:ins w:id="81" w:author="Peter Niblett" w:date="2020-12-14T08:46:00Z">
        <w:r w:rsidR="00151B4F">
          <w:rPr>
            <w:lang w:eastAsia="zh-CN"/>
          </w:rPr>
          <w:t xml:space="preserve">If the request was sent as a Confirmable message, the Receiver </w:t>
        </w:r>
      </w:ins>
      <w:del w:id="82" w:author="Peter Niblett" w:date="2020-12-14T08:46:00Z">
        <w:r w:rsidDel="00151B4F">
          <w:rPr>
            <w:lang w:eastAsia="zh-CN"/>
          </w:rPr>
          <w:delText xml:space="preserve">It </w:delText>
        </w:r>
      </w:del>
      <w:r>
        <w:rPr>
          <w:lang w:eastAsia="zh-CN"/>
        </w:rPr>
        <w:t xml:space="preserve">may either piggyback (2a) this response to the request on the </w:t>
      </w:r>
      <w:proofErr w:type="spellStart"/>
      <w:r>
        <w:rPr>
          <w:lang w:eastAsia="zh-CN"/>
        </w:rPr>
        <w:t>CoAP</w:t>
      </w:r>
      <w:proofErr w:type="spellEnd"/>
      <w:r>
        <w:rPr>
          <w:lang w:eastAsia="zh-CN"/>
        </w:rPr>
        <w:t xml:space="preserve"> ACK </w:t>
      </w:r>
      <w:proofErr w:type="gramStart"/>
      <w:r>
        <w:rPr>
          <w:lang w:eastAsia="zh-CN"/>
        </w:rPr>
        <w:t>message, or</w:t>
      </w:r>
      <w:proofErr w:type="gramEnd"/>
      <w:r>
        <w:rPr>
          <w:lang w:eastAsia="zh-CN"/>
        </w:rPr>
        <w:t xml:space="preserve"> send </w:t>
      </w:r>
      <w:ins w:id="83" w:author="Peter Niblett" w:date="2020-12-14T08:47:00Z">
        <w:r w:rsidR="00151B4F">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del w:id="84" w:author="Peter Niblett" w:date="2020-12-14T08:47:00Z">
        <w:r w:rsidDel="00151B4F">
          <w:rPr>
            <w:lang w:eastAsia="zh-CN"/>
          </w:rPr>
          <w:delText xml:space="preserve">response </w:delText>
        </w:r>
      </w:del>
      <w:ins w:id="85" w:author="Peter Niblett" w:date="2020-12-14T08:47:00Z">
        <w:r w:rsidR="00151B4F">
          <w:rPr>
            <w:lang w:eastAsia="zh-CN"/>
          </w:rPr>
          <w:t xml:space="preserve">Confirmable </w:t>
        </w:r>
      </w:ins>
      <w:r>
        <w:rPr>
          <w:lang w:eastAsia="zh-CN"/>
        </w:rPr>
        <w:t xml:space="preserve">message after the </w:t>
      </w:r>
      <w:proofErr w:type="spellStart"/>
      <w:r>
        <w:rPr>
          <w:lang w:eastAsia="zh-CN"/>
        </w:rPr>
        <w:t>CoAP</w:t>
      </w:r>
      <w:proofErr w:type="spellEnd"/>
      <w:r>
        <w:rPr>
          <w:lang w:eastAsia="zh-CN"/>
        </w:rPr>
        <w:t xml:space="preserve"> ACK (2b).</w:t>
      </w:r>
      <w:ins w:id="86" w:author="Peter Niblett" w:date="2020-12-14T08:44:00Z">
        <w:r w:rsidR="00151B4F">
          <w:rPr>
            <w:lang w:eastAsia="zh-CN"/>
          </w:rPr>
          <w:t xml:space="preserve"> </w:t>
        </w:r>
      </w:ins>
      <w:ins w:id="87" w:author="Peter Niblett" w:date="2020-12-14T08:47:00Z">
        <w:r w:rsidR="00151B4F">
          <w:rPr>
            <w:lang w:eastAsia="zh-CN"/>
          </w:rPr>
          <w:t xml:space="preserve">If the request was sent as Non-confirmable, the response is returned as a separate Non-confirmable </w:t>
        </w:r>
        <w:proofErr w:type="spellStart"/>
        <w:r w:rsidR="00151B4F">
          <w:rPr>
            <w:lang w:eastAsia="zh-CN"/>
          </w:rPr>
          <w:t>CoAP</w:t>
        </w:r>
        <w:proofErr w:type="spellEnd"/>
        <w:r w:rsidR="00151B4F">
          <w:rPr>
            <w:lang w:eastAsia="zh-CN"/>
          </w:rPr>
          <w:t xml:space="preserve"> message.</w:t>
        </w:r>
      </w:ins>
    </w:p>
    <w:p w14:paraId="2590698A" w14:textId="77777777" w:rsidR="00DA218C" w:rsidRDefault="00DA218C" w:rsidP="00DA218C">
      <w:pPr>
        <w:numPr>
          <w:ilvl w:val="0"/>
          <w:numId w:val="46"/>
        </w:numPr>
        <w:textAlignment w:val="auto"/>
        <w:rPr>
          <w:lang w:eastAsia="zh-CN"/>
        </w:rPr>
      </w:pPr>
      <w:r>
        <w:rPr>
          <w:lang w:eastAsia="zh-CN"/>
        </w:rPr>
        <w:t xml:space="preserve">If the Receiver supports the &lt;request&gt; resource type, it shall respond with a 2.01 (Created)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DA218C">
      <w:pPr>
        <w:numPr>
          <w:ilvl w:val="0"/>
          <w:numId w:val="46"/>
        </w:numPr>
        <w:textAlignment w:val="auto"/>
        <w:rPr>
          <w:lang w:eastAsia="zh-CN"/>
        </w:rPr>
      </w:pPr>
      <w:r>
        <w:rPr>
          <w:lang w:eastAsia="zh-CN"/>
        </w:rPr>
        <w:lastRenderedPageBreak/>
        <w:t xml:space="preserve">If the Receiver does not support the &lt;request&gt; resource type, it shall respond with a 2.04 (Changed)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77777777" w:rsidR="00DA218C" w:rsidRDefault="00DA218C" w:rsidP="00DA218C">
      <w:pPr>
        <w:tabs>
          <w:tab w:val="num" w:pos="540"/>
        </w:tabs>
        <w:ind w:left="540" w:hanging="273"/>
        <w:rPr>
          <w:lang w:eastAsia="zh-CN"/>
        </w:rPr>
      </w:pPr>
      <w:r>
        <w:rPr>
          <w:lang w:eastAsia="zh-CN"/>
        </w:rPr>
        <w:t xml:space="preserve">3)  The Receiver, upon successful processing of the request, shall send a new </w:t>
      </w:r>
      <w:proofErr w:type="spellStart"/>
      <w:r>
        <w:rPr>
          <w:lang w:eastAsia="zh-CN"/>
        </w:rPr>
        <w:t>CoAP</w:t>
      </w:r>
      <w:proofErr w:type="spellEnd"/>
      <w:r>
        <w:rPr>
          <w:lang w:eastAsia="zh-CN"/>
        </w:rPr>
        <w:t xml:space="preserve"> Confirmable request message using POST method (NOTIFY primitive) and whose payload contains the response to the original request.</w:t>
      </w:r>
    </w:p>
    <w:p w14:paraId="774CF2A4" w14:textId="77777777" w:rsidR="00DA218C" w:rsidRDefault="00DA218C" w:rsidP="00DA218C">
      <w:pPr>
        <w:tabs>
          <w:tab w:val="num" w:pos="540"/>
        </w:tabs>
        <w:ind w:left="540" w:hanging="256"/>
        <w:rPr>
          <w:lang w:eastAsia="zh-CN"/>
        </w:rPr>
      </w:pPr>
      <w:r>
        <w:rPr>
          <w:lang w:eastAsia="zh-CN"/>
        </w:rPr>
        <w:t xml:space="preserve">4) The Originator may either piggyback a response to this request (4a) or send it as a separate </w:t>
      </w:r>
      <w:proofErr w:type="spellStart"/>
      <w:r>
        <w:rPr>
          <w:lang w:eastAsia="zh-CN"/>
        </w:rPr>
        <w:t>CoAP</w:t>
      </w:r>
      <w:proofErr w:type="spellEnd"/>
      <w:r>
        <w:rPr>
          <w:lang w:eastAsia="zh-CN"/>
        </w:rPr>
        <w:t xml:space="preserve"> response after the acknowledgment message (4b). This response shall contain the appropriate </w:t>
      </w:r>
      <w:proofErr w:type="spellStart"/>
      <w:r>
        <w:rPr>
          <w:lang w:eastAsia="zh-CN"/>
        </w:rPr>
        <w:t>CoAP</w:t>
      </w:r>
      <w:proofErr w:type="spellEnd"/>
      <w:r>
        <w:rPr>
          <w:lang w:eastAsia="zh-CN"/>
        </w:rPr>
        <w:t xml:space="preserve">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0605D7"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6CDF2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pt;height:213.6pt;mso-width-percent:0;mso-height-percent:0;mso-width-percent:0;mso-height-percent:0" o:ole="">
            <v:imagedata r:id="rId11" o:title=""/>
          </v:shape>
          <o:OLEObject Type="Embed" ProgID="Word.Document.12" ShapeID="_x0000_i1026" DrawAspect="Content" ObjectID="_1669442839" r:id="rId12">
            <o:FieldCodes>\s</o:FieldCodes>
          </o:OLEObject>
        </w:object>
      </w:r>
    </w:p>
    <w:p w14:paraId="378F8000" w14:textId="77777777" w:rsidR="00DA218C" w:rsidRPr="009B1E05" w:rsidRDefault="00DA218C" w:rsidP="00DA218C">
      <w:pPr>
        <w:pStyle w:val="TF"/>
        <w:rPr>
          <w:lang w:eastAsia="zh-CN"/>
        </w:rPr>
      </w:pPr>
      <w:bookmarkStart w:id="88" w:name="_Hlk9313572"/>
      <w:r w:rsidRPr="009B1E05">
        <w:t xml:space="preserve">Figure </w:t>
      </w:r>
      <w:r>
        <w:t>6.3.2-1</w:t>
      </w:r>
      <w:r>
        <w:rPr>
          <w:lang w:eastAsia="ko-KR"/>
        </w:rPr>
        <w:t>:</w:t>
      </w:r>
      <w:r w:rsidRPr="009B1E05">
        <w:t xml:space="preserve"> </w:t>
      </w:r>
      <w:r>
        <w:t>Non-Blocking Asynchronous Case</w:t>
      </w:r>
    </w:p>
    <w:bookmarkEnd w:id="88"/>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89" w:name="_Toc528055374"/>
      <w:bookmarkStart w:id="90" w:name="_Toc528068540"/>
      <w:bookmarkStart w:id="91" w:name="_Toc528068610"/>
      <w:bookmarkStart w:id="92" w:name="_Toc528068697"/>
      <w:bookmarkStart w:id="93" w:name="_Toc528068766"/>
      <w:bookmarkStart w:id="94" w:name="_Toc9313210"/>
      <w:bookmarkStart w:id="95"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89"/>
      <w:bookmarkEnd w:id="90"/>
      <w:bookmarkEnd w:id="91"/>
      <w:bookmarkEnd w:id="92"/>
      <w:bookmarkEnd w:id="93"/>
      <w:bookmarkEnd w:id="94"/>
      <w:bookmarkEnd w:id="95"/>
    </w:p>
    <w:p w14:paraId="354DB376" w14:textId="07FE786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(non-blocking synchronous case), the Originator (</w:t>
      </w:r>
      <w:proofErr w:type="spellStart"/>
      <w:r>
        <w:rPr>
          <w:lang w:eastAsia="zh-CN"/>
        </w:rPr>
        <w:t>CoAP</w:t>
      </w:r>
      <w:proofErr w:type="spellEnd"/>
      <w:r>
        <w:rPr>
          <w:lang w:eastAsia="zh-CN"/>
        </w:rPr>
        <w:t xml:space="preserve"> client) </w:t>
      </w:r>
      <w:del w:id="96" w:author="Peter Niblett" w:date="2020-12-14T08:51:00Z">
        <w:r w:rsidDel="006F2CA5">
          <w:rPr>
            <w:lang w:eastAsia="zh-CN"/>
          </w:rPr>
          <w:delText xml:space="preserve">shall </w:delText>
        </w:r>
      </w:del>
      <w:ins w:id="97" w:author="Peter Niblett" w:date="2020-12-14T08:51:00Z">
        <w:r w:rsidR="006F2CA5">
          <w:rPr>
            <w:lang w:eastAsia="zh-CN"/>
          </w:rPr>
          <w:t>should send</w:t>
        </w:r>
      </w:ins>
      <w:ins w:id="98" w:author="Peter Niblett" w:date="2020-12-14T08:55:00Z">
        <w:r w:rsidR="006F2CA5">
          <w:rPr>
            <w:lang w:eastAsia="zh-CN"/>
          </w:rPr>
          <w:t xml:space="preserve"> the request </w:t>
        </w:r>
      </w:ins>
      <w:del w:id="99" w:author="Peter Niblett" w:date="2020-12-14T08:56:00Z">
        <w:r w:rsidDel="006F2CA5">
          <w:rPr>
            <w:lang w:eastAsia="zh-CN"/>
          </w:rPr>
          <w:delText xml:space="preserve">use the Confirmable Method for the resource </w:delText>
        </w:r>
      </w:del>
      <w:r>
        <w:rPr>
          <w:lang w:eastAsia="zh-CN"/>
        </w:rPr>
        <w:t>to the Receiver (</w:t>
      </w:r>
      <w:proofErr w:type="spellStart"/>
      <w:r>
        <w:rPr>
          <w:lang w:eastAsia="zh-CN"/>
        </w:rPr>
        <w:t>CoAP</w:t>
      </w:r>
      <w:proofErr w:type="spellEnd"/>
      <w:r>
        <w:rPr>
          <w:lang w:eastAsia="zh-CN"/>
        </w:rPr>
        <w:t xml:space="preserve"> server)</w:t>
      </w:r>
      <w:ins w:id="100" w:author="Peter Niblett" w:date="2020-12-14T08:56:00Z">
        <w:r w:rsidR="006F2CA5">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00EA7B41" w14:textId="7AD6D10D" w:rsidR="00DA218C" w:rsidRDefault="00DA218C" w:rsidP="006F2CA5">
      <w:pPr>
        <w:ind w:left="540" w:hanging="274"/>
        <w:rPr>
          <w:lang w:eastAsia="zh-CN"/>
        </w:rPr>
      </w:pPr>
      <w:r>
        <w:rPr>
          <w:lang w:eastAsia="zh-CN"/>
        </w:rPr>
        <w:t xml:space="preserve">2)  The Receiver, after validating the request and before processing it fully, shall return a </w:t>
      </w:r>
      <w:proofErr w:type="spellStart"/>
      <w:r>
        <w:rPr>
          <w:lang w:eastAsia="zh-CN"/>
        </w:rPr>
        <w:t>CoAP</w:t>
      </w:r>
      <w:proofErr w:type="spellEnd"/>
      <w:r>
        <w:rPr>
          <w:lang w:eastAsia="zh-CN"/>
        </w:rPr>
        <w:t xml:space="preserve"> response to the originator. It may either piggyback this response (2a) on the </w:t>
      </w:r>
      <w:proofErr w:type="spellStart"/>
      <w:r>
        <w:rPr>
          <w:lang w:eastAsia="zh-CN"/>
        </w:rPr>
        <w:t>CoAP</w:t>
      </w:r>
      <w:proofErr w:type="spellEnd"/>
      <w:r>
        <w:rPr>
          <w:lang w:eastAsia="zh-CN"/>
        </w:rPr>
        <w:t xml:space="preserve"> ACK message </w:t>
      </w:r>
      <w:ins w:id="101" w:author="Peter Niblett" w:date="2020-12-14T09:02:00Z">
        <w:r w:rsidR="00456AAB">
          <w:rPr>
            <w:lang w:eastAsia="zh-CN"/>
          </w:rPr>
          <w:t xml:space="preserve">(if the request was sent as a Confirmable message) </w:t>
        </w:r>
      </w:ins>
      <w:r>
        <w:rPr>
          <w:lang w:eastAsia="zh-CN"/>
        </w:rPr>
        <w:t xml:space="preserve">or send </w:t>
      </w:r>
      <w:ins w:id="102" w:author="Peter Niblett" w:date="2020-12-14T08:56:00Z">
        <w:r w:rsidR="006F2CA5">
          <w:rPr>
            <w:lang w:eastAsia="zh-CN"/>
          </w:rPr>
          <w:t xml:space="preserve">the response as </w:t>
        </w:r>
      </w:ins>
      <w:r>
        <w:rPr>
          <w:lang w:eastAsia="zh-CN"/>
        </w:rPr>
        <w:t xml:space="preserve">a separate </w:t>
      </w:r>
      <w:proofErr w:type="spellStart"/>
      <w:r>
        <w:rPr>
          <w:lang w:eastAsia="zh-CN"/>
        </w:rPr>
        <w:t>CoAP</w:t>
      </w:r>
      <w:proofErr w:type="spellEnd"/>
      <w:r>
        <w:rPr>
          <w:lang w:eastAsia="zh-CN"/>
        </w:rPr>
        <w:t xml:space="preserve"> </w:t>
      </w:r>
      <w:del w:id="103" w:author="Peter Niblett" w:date="2020-12-14T08:56:00Z">
        <w:r w:rsidDel="006F2CA5">
          <w:rPr>
            <w:lang w:eastAsia="zh-CN"/>
          </w:rPr>
          <w:delText xml:space="preserve">response </w:delText>
        </w:r>
      </w:del>
      <w:ins w:id="104" w:author="Peter Niblett" w:date="2020-12-14T08:56:00Z">
        <w:r w:rsidR="006F2CA5">
          <w:rPr>
            <w:lang w:eastAsia="zh-CN"/>
          </w:rPr>
          <w:t>C</w:t>
        </w:r>
      </w:ins>
      <w:ins w:id="105" w:author="Peter Niblett" w:date="2020-12-14T08:57:00Z">
        <w:r w:rsidR="006F2CA5">
          <w:rPr>
            <w:lang w:eastAsia="zh-CN"/>
          </w:rPr>
          <w:t>onfirmable</w:t>
        </w:r>
      </w:ins>
      <w:ins w:id="106" w:author="Peter Niblett" w:date="2020-12-14T08:56:00Z">
        <w:r w:rsidR="006F2CA5">
          <w:rPr>
            <w:lang w:eastAsia="zh-CN"/>
          </w:rPr>
          <w:t xml:space="preserve"> </w:t>
        </w:r>
      </w:ins>
      <w:r>
        <w:rPr>
          <w:lang w:eastAsia="zh-CN"/>
        </w:rPr>
        <w:t xml:space="preserve">message after the </w:t>
      </w:r>
      <w:proofErr w:type="spellStart"/>
      <w:r>
        <w:rPr>
          <w:lang w:eastAsia="zh-CN"/>
        </w:rPr>
        <w:t>CoAP</w:t>
      </w:r>
      <w:proofErr w:type="spellEnd"/>
      <w:r>
        <w:rPr>
          <w:lang w:eastAsia="zh-CN"/>
        </w:rPr>
        <w:t xml:space="preserve"> ACK (2b).</w:t>
      </w:r>
    </w:p>
    <w:p w14:paraId="3E8727BB" w14:textId="77777777" w:rsidR="00DA218C" w:rsidRDefault="00DA218C" w:rsidP="00DA218C">
      <w:pPr>
        <w:numPr>
          <w:ilvl w:val="0"/>
          <w:numId w:val="46"/>
        </w:numPr>
        <w:textAlignment w:val="auto"/>
        <w:rPr>
          <w:lang w:eastAsia="zh-CN"/>
        </w:rPr>
      </w:pPr>
      <w:r>
        <w:rPr>
          <w:lang w:eastAsia="zh-CN"/>
        </w:rPr>
        <w:t xml:space="preserve">If the Receiver supports the &lt;request&gt; resource type, it shall respond with a 2.01 (Created)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7777777" w:rsidR="00DA218C" w:rsidRDefault="00DA218C" w:rsidP="00DA218C">
      <w:pPr>
        <w:numPr>
          <w:ilvl w:val="0"/>
          <w:numId w:val="46"/>
        </w:numPr>
        <w:textAlignment w:val="auto"/>
        <w:rPr>
          <w:lang w:eastAsia="zh-CN"/>
        </w:rPr>
      </w:pPr>
      <w:r>
        <w:rPr>
          <w:lang w:eastAsia="zh-CN"/>
        </w:rPr>
        <w:t xml:space="preserve">If the Receiver does not support the &lt;request&gt; resource type, it shall respond with a 5.01 (Not implemented) </w:t>
      </w:r>
      <w:proofErr w:type="spellStart"/>
      <w:r>
        <w:rPr>
          <w:lang w:eastAsia="zh-CN"/>
        </w:rPr>
        <w:t>CoAP</w:t>
      </w:r>
      <w:proofErr w:type="spellEnd"/>
      <w:r>
        <w:rPr>
          <w:lang w:eastAsia="zh-CN"/>
        </w:rPr>
        <w:t xml:space="preserve"> response code and a oneM2M </w:t>
      </w:r>
      <w:r>
        <w:rPr>
          <w:b/>
          <w:i/>
          <w:lang w:eastAsia="zh-CN"/>
        </w:rPr>
        <w:t>Response Status Code</w:t>
      </w:r>
      <w:r>
        <w:rPr>
          <w:lang w:eastAsia="zh-CN"/>
        </w:rPr>
        <w:t xml:space="preserve"> of "</w:t>
      </w:r>
      <w:r>
        <w:rPr>
          <w:rFonts w:ascii="Arial" w:hAnsi="Arial"/>
          <w:sz w:val="18"/>
          <w:lang w:eastAsia="zh-CN"/>
        </w:rPr>
        <w:t>NON_BLOCKING_REQUEST_NOT_SUPPORTED</w:t>
      </w:r>
      <w:r>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lastRenderedPageBreak/>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 xml:space="preserve">If the Receiver is a Transit CSE, the Receiver acts as </w:t>
      </w:r>
      <w:proofErr w:type="spellStart"/>
      <w:r>
        <w:t>CoAP</w:t>
      </w:r>
      <w:proofErr w:type="spellEnd"/>
      <w:r>
        <w:t xml:space="preserve"> client and </w:t>
      </w:r>
      <w:proofErr w:type="spellStart"/>
      <w:r>
        <w:t>CoAP</w:t>
      </w:r>
      <w:proofErr w:type="spellEnd"/>
      <w:r>
        <w:t xml:space="preserve"> server.</w:t>
      </w:r>
    </w:p>
    <w:p w14:paraId="740225ED" w14:textId="77777777" w:rsidR="00DA218C" w:rsidRDefault="00DA218C" w:rsidP="00DA218C">
      <w:pPr>
        <w:keepLines/>
        <w:ind w:left="1135" w:hanging="851"/>
      </w:pPr>
    </w:p>
    <w:p w14:paraId="1175E172" w14:textId="77777777" w:rsidR="00DA218C" w:rsidRDefault="000605D7" w:rsidP="00DA218C">
      <w:pPr>
        <w:keepLines/>
        <w:ind w:left="1135" w:hanging="851"/>
        <w:rPr>
          <w:noProof/>
          <w:lang w:val="x-none"/>
        </w:rPr>
      </w:pPr>
      <w:r>
        <w:rPr>
          <w:noProof/>
          <w:lang w:val="x-none"/>
        </w:rPr>
        <w:object w:dxaOrig="9645" w:dyaOrig="4020" w14:anchorId="637A1B26">
          <v:shape id="_x0000_i1025" type="#_x0000_t75" alt="" style="width:483pt;height:201pt;mso-width-percent:0;mso-height-percent:0;mso-width-percent:0;mso-height-percent:0" o:ole="">
            <v:imagedata r:id="rId13" o:title=""/>
          </v:shape>
          <o:OLEObject Type="Embed" ProgID="Word.Document.12" ShapeID="_x0000_i1025" DrawAspect="Content" ObjectID="_1669442840" r:id="rId14">
            <o:FieldCodes>\s</o:FieldCodes>
          </o:OLEObject>
        </w:object>
      </w:r>
    </w:p>
    <w:p w14:paraId="72569F10" w14:textId="77777777" w:rsidR="00DA218C" w:rsidRPr="009B1E05" w:rsidRDefault="00DA218C" w:rsidP="00DA218C">
      <w:pPr>
        <w:pStyle w:val="TF"/>
        <w:rPr>
          <w:lang w:eastAsia="zh-CN"/>
        </w:rPr>
      </w:pPr>
      <w:bookmarkStart w:id="107" w:name="_Hlk9313684"/>
      <w:r w:rsidRPr="009B1E05">
        <w:t xml:space="preserve">Figure </w:t>
      </w:r>
      <w:r>
        <w:t>6.3.3-1</w:t>
      </w:r>
      <w:r>
        <w:rPr>
          <w:lang w:eastAsia="ko-KR"/>
        </w:rPr>
        <w:t>:</w:t>
      </w:r>
      <w:r w:rsidRPr="009B1E05">
        <w:t xml:space="preserve"> </w:t>
      </w:r>
      <w:r>
        <w:t>Non-Blocking Synchronous Case</w:t>
      </w:r>
    </w:p>
    <w:bookmarkEnd w:id="107"/>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108" w:name="_Toc30573787"/>
      <w:r>
        <w:rPr>
          <w:lang w:eastAsia="ko-KR"/>
        </w:rPr>
        <w:t>6.3.4</w:t>
      </w:r>
      <w:r>
        <w:rPr>
          <w:lang w:eastAsia="ko-KR"/>
        </w:rPr>
        <w:tab/>
        <w:t>Flex Blocking case</w:t>
      </w:r>
      <w:bookmarkEnd w:id="108"/>
    </w:p>
    <w:p w14:paraId="0992FCEE" w14:textId="71A6980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w:t>
      </w:r>
      <w:proofErr w:type="spellStart"/>
      <w:r>
        <w:rPr>
          <w:lang w:eastAsia="zh-CN"/>
        </w:rPr>
        <w:t>CoAP</w:t>
      </w:r>
      <w:proofErr w:type="spellEnd"/>
      <w:r>
        <w:rPr>
          <w:lang w:eastAsia="zh-CN"/>
        </w:rPr>
        <w:t xml:space="preserve"> client) </w:t>
      </w:r>
      <w:del w:id="109" w:author="Peter Niblett" w:date="2020-12-14T09:18:00Z">
        <w:r w:rsidDel="009A2FAC">
          <w:rPr>
            <w:lang w:eastAsia="zh-CN"/>
          </w:rPr>
          <w:delText>shall us</w:delText>
        </w:r>
      </w:del>
      <w:ins w:id="110" w:author="Peter Niblett" w:date="2020-12-14T09:18:00Z">
        <w:r w:rsidR="009A2FAC">
          <w:rPr>
            <w:lang w:eastAsia="zh-CN"/>
          </w:rPr>
          <w:t>should s</w:t>
        </w:r>
      </w:ins>
      <w:ins w:id="111" w:author="Peter Niblett" w:date="2020-12-14T09:19:00Z">
        <w:r w:rsidR="009A2FAC">
          <w:rPr>
            <w:lang w:eastAsia="zh-CN"/>
          </w:rPr>
          <w:t>end</w:t>
        </w:r>
      </w:ins>
      <w:del w:id="112" w:author="Peter Niblett" w:date="2020-12-14T09:19:00Z">
        <w:r w:rsidDel="009A2FAC">
          <w:rPr>
            <w:lang w:eastAsia="zh-CN"/>
          </w:rPr>
          <w:delText>e</w:delText>
        </w:r>
      </w:del>
      <w:r>
        <w:rPr>
          <w:lang w:eastAsia="zh-CN"/>
        </w:rPr>
        <w:t xml:space="preserve"> the </w:t>
      </w:r>
      <w:del w:id="113" w:author="Peter Niblett" w:date="2020-12-14T09:19:00Z">
        <w:r w:rsidDel="009A2FAC">
          <w:rPr>
            <w:lang w:eastAsia="zh-CN"/>
          </w:rPr>
          <w:delText>Confirmable Method for the resource</w:delText>
        </w:r>
      </w:del>
      <w:ins w:id="114" w:author="Peter Niblett" w:date="2020-12-14T09:19:00Z">
        <w:r w:rsidR="009A2FAC">
          <w:rPr>
            <w:lang w:eastAsia="zh-CN"/>
          </w:rPr>
          <w:t>request</w:t>
        </w:r>
      </w:ins>
      <w:r>
        <w:rPr>
          <w:lang w:eastAsia="zh-CN"/>
        </w:rPr>
        <w:t xml:space="preserve"> to the Receiver (</w:t>
      </w:r>
      <w:proofErr w:type="spellStart"/>
      <w:r>
        <w:rPr>
          <w:lang w:eastAsia="zh-CN"/>
        </w:rPr>
        <w:t>CoAP</w:t>
      </w:r>
      <w:proofErr w:type="spellEnd"/>
      <w:r>
        <w:rPr>
          <w:lang w:eastAsia="zh-CN"/>
        </w:rPr>
        <w:t xml:space="preserve"> server)</w:t>
      </w:r>
      <w:ins w:id="115" w:author="Peter Niblett" w:date="2020-12-14T09:19:00Z">
        <w:r w:rsidR="009A2FAC">
          <w:rPr>
            <w:lang w:eastAsia="zh-CN"/>
          </w:rPr>
          <w:t xml:space="preserve"> as a Confirmable message</w:t>
        </w:r>
      </w:ins>
      <w:r>
        <w:rPr>
          <w:lang w:eastAsia="zh-CN"/>
        </w:rPr>
        <w:t xml:space="preserve">. This request shall be sent using a </w:t>
      </w:r>
      <w:proofErr w:type="spellStart"/>
      <w:r>
        <w:rPr>
          <w:lang w:eastAsia="zh-CN"/>
        </w:rPr>
        <w:t>CoAP</w:t>
      </w:r>
      <w:proofErr w:type="spellEnd"/>
      <w:r>
        <w:rPr>
          <w:lang w:eastAsia="zh-CN"/>
        </w:rPr>
        <w:t xml:space="preserve">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77777777" w:rsidR="00DA218C" w:rsidRDefault="00DA218C" w:rsidP="00DA218C">
      <w:pPr>
        <w:numPr>
          <w:ilvl w:val="0"/>
          <w:numId w:val="46"/>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6.2.2, starting from step 2).</w:t>
      </w:r>
    </w:p>
    <w:p w14:paraId="143F0EB4" w14:textId="77777777" w:rsidR="00DA218C" w:rsidRDefault="00DA218C" w:rsidP="00DA218C">
      <w:pPr>
        <w:numPr>
          <w:ilvl w:val="0"/>
          <w:numId w:val="46"/>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6.2.3,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A0C0C" w14:textId="77777777" w:rsidR="000605D7" w:rsidRDefault="000605D7">
      <w:r>
        <w:separator/>
      </w:r>
    </w:p>
  </w:endnote>
  <w:endnote w:type="continuationSeparator" w:id="0">
    <w:p w14:paraId="5B79A797" w14:textId="77777777" w:rsidR="000605D7" w:rsidRDefault="0006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20B0604020202020204"/>
    <w:charset w:val="00"/>
    <w:family w:val="swiss"/>
    <w:notTrueType/>
    <w:pitch w:val="variable"/>
    <w:sig w:usb0="A00002AF" w:usb1="50002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AEEAE" w14:textId="77777777" w:rsidR="00AA1108" w:rsidRPr="003C00E6" w:rsidRDefault="00AA1108" w:rsidP="00325EA3">
    <w:pPr>
      <w:pStyle w:val="Footer"/>
      <w:tabs>
        <w:tab w:val="center" w:pos="4678"/>
        <w:tab w:val="right" w:pos="9214"/>
      </w:tabs>
      <w:jc w:val="both"/>
      <w:rPr>
        <w:rFonts w:ascii="Times New Roman" w:eastAsia="Calibri" w:hAnsi="Times New Roman"/>
        <w:sz w:val="16"/>
        <w:szCs w:val="16"/>
        <w:lang w:val="en-US"/>
      </w:rPr>
    </w:pPr>
  </w:p>
  <w:p w14:paraId="5F137721" w14:textId="77777777" w:rsidR="00AA1108" w:rsidRPr="00861D0F" w:rsidRDefault="00AA110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AA1108" w:rsidRPr="00424964" w:rsidRDefault="00AA1108" w:rsidP="00325EA3">
    <w:pPr>
      <w:pStyle w:val="Footer"/>
      <w:tabs>
        <w:tab w:val="center" w:pos="4678"/>
        <w:tab w:val="right" w:pos="9214"/>
      </w:tabs>
      <w:jc w:val="both"/>
      <w:rPr>
        <w:lang w:val="en-GB"/>
      </w:rPr>
    </w:pPr>
  </w:p>
  <w:p w14:paraId="6597C5C7" w14:textId="77777777" w:rsidR="00AA1108" w:rsidRDefault="00AA11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7BDFE" w14:textId="77777777" w:rsidR="000605D7" w:rsidRDefault="000605D7">
      <w:r>
        <w:separator/>
      </w:r>
    </w:p>
  </w:footnote>
  <w:footnote w:type="continuationSeparator" w:id="0">
    <w:p w14:paraId="5630DFF3" w14:textId="77777777" w:rsidR="000605D7" w:rsidRDefault="0006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AA1108" w:rsidRPr="009B635D" w14:paraId="1EA60886" w14:textId="77777777" w:rsidTr="00294EEF">
      <w:trPr>
        <w:trHeight w:val="831"/>
      </w:trPr>
      <w:tc>
        <w:tcPr>
          <w:tcW w:w="8068" w:type="dxa"/>
        </w:tcPr>
        <w:p w14:paraId="25FE4A08" w14:textId="77777777" w:rsidR="00AA1108" w:rsidRDefault="00AA1108" w:rsidP="00024AED">
          <w:pPr>
            <w:overflowPunct/>
            <w:autoSpaceDE/>
            <w:autoSpaceDN/>
            <w:adjustRightInd/>
            <w:spacing w:after="0"/>
            <w:textAlignment w:val="auto"/>
            <w:rPr>
              <w:lang w:eastAsia="en-GB"/>
            </w:rPr>
          </w:pPr>
          <w:r w:rsidRPr="00823177">
            <w:t xml:space="preserve">Doc# </w:t>
          </w:r>
          <w:r>
            <w:t>SDS-2020-0374-Allow_non-confirmable_messages_in_CoAP</w:t>
          </w:r>
        </w:p>
        <w:p w14:paraId="276AE60E" w14:textId="77777777" w:rsidR="00AA1108" w:rsidRPr="00A9388B" w:rsidRDefault="00AA1108" w:rsidP="00410253">
          <w:pPr>
            <w:pStyle w:val="oneM2M-PageHead"/>
          </w:pPr>
        </w:p>
      </w:tc>
      <w:tc>
        <w:tcPr>
          <w:tcW w:w="1569" w:type="dxa"/>
        </w:tcPr>
        <w:p w14:paraId="4B08760F" w14:textId="77777777" w:rsidR="00AA1108" w:rsidRPr="009B635D" w:rsidRDefault="00AA110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AA1108" w:rsidRDefault="00AA110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A554EA"/>
    <w:multiLevelType w:val="hybridMultilevel"/>
    <w:tmpl w:val="BA18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28"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7FE38EF"/>
    <w:multiLevelType w:val="multilevel"/>
    <w:tmpl w:val="53D23A84"/>
    <w:numStyleLink w:val="Annex"/>
  </w:abstractNum>
  <w:abstractNum w:abstractNumId="39"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8"/>
  </w:num>
  <w:num w:numId="2">
    <w:abstractNumId w:val="44"/>
  </w:num>
  <w:num w:numId="3">
    <w:abstractNumId w:val="8"/>
  </w:num>
  <w:num w:numId="4">
    <w:abstractNumId w:val="22"/>
  </w:num>
  <w:num w:numId="5">
    <w:abstractNumId w:val="30"/>
  </w:num>
  <w:num w:numId="6">
    <w:abstractNumId w:val="1"/>
  </w:num>
  <w:num w:numId="7">
    <w:abstractNumId w:val="0"/>
  </w:num>
  <w:num w:numId="8">
    <w:abstractNumId w:val="45"/>
  </w:num>
  <w:num w:numId="9">
    <w:abstractNumId w:val="36"/>
  </w:num>
  <w:num w:numId="10">
    <w:abstractNumId w:val="42"/>
  </w:num>
  <w:num w:numId="11">
    <w:abstractNumId w:val="32"/>
  </w:num>
  <w:num w:numId="12">
    <w:abstractNumId w:val="40"/>
  </w:num>
  <w:num w:numId="13">
    <w:abstractNumId w:val="3"/>
  </w:num>
  <w:num w:numId="14">
    <w:abstractNumId w:val="38"/>
  </w:num>
  <w:num w:numId="15">
    <w:abstractNumId w:val="24"/>
  </w:num>
  <w:num w:numId="16">
    <w:abstractNumId w:val="43"/>
  </w:num>
  <w:num w:numId="17">
    <w:abstractNumId w:val="5"/>
  </w:num>
  <w:num w:numId="18">
    <w:abstractNumId w:val="25"/>
  </w:num>
  <w:num w:numId="19">
    <w:abstractNumId w:val="37"/>
  </w:num>
  <w:num w:numId="20">
    <w:abstractNumId w:val="17"/>
  </w:num>
  <w:num w:numId="21">
    <w:abstractNumId w:val="39"/>
  </w:num>
  <w:num w:numId="22">
    <w:abstractNumId w:val="13"/>
  </w:num>
  <w:num w:numId="23">
    <w:abstractNumId w:val="9"/>
  </w:num>
  <w:num w:numId="24">
    <w:abstractNumId w:val="6"/>
  </w:num>
  <w:num w:numId="25">
    <w:abstractNumId w:val="31"/>
  </w:num>
  <w:num w:numId="26">
    <w:abstractNumId w:val="34"/>
  </w:num>
  <w:num w:numId="27">
    <w:abstractNumId w:val="10"/>
  </w:num>
  <w:num w:numId="28">
    <w:abstractNumId w:val="14"/>
  </w:num>
  <w:num w:numId="29">
    <w:abstractNumId w:val="26"/>
  </w:num>
  <w:num w:numId="30">
    <w:abstractNumId w:val="2"/>
  </w:num>
  <w:num w:numId="31">
    <w:abstractNumId w:val="46"/>
  </w:num>
  <w:num w:numId="32">
    <w:abstractNumId w:val="19"/>
  </w:num>
  <w:num w:numId="33">
    <w:abstractNumId w:val="12"/>
  </w:num>
  <w:num w:numId="34">
    <w:abstractNumId w:val="29"/>
  </w:num>
  <w:num w:numId="35">
    <w:abstractNumId w:val="41"/>
  </w:num>
  <w:num w:numId="36">
    <w:abstractNumId w:val="28"/>
  </w:num>
  <w:num w:numId="37">
    <w:abstractNumId w:val="20"/>
  </w:num>
  <w:num w:numId="38">
    <w:abstractNumId w:val="21"/>
  </w:num>
  <w:num w:numId="39">
    <w:abstractNumId w:val="15"/>
  </w:num>
  <w:num w:numId="40">
    <w:abstractNumId w:val="11"/>
  </w:num>
  <w:num w:numId="41">
    <w:abstractNumId w:val="7"/>
  </w:num>
  <w:num w:numId="42">
    <w:abstractNumId w:val="4"/>
  </w:num>
  <w:num w:numId="43">
    <w:abstractNumId w:val="47"/>
  </w:num>
  <w:num w:numId="44">
    <w:abstractNumId w:val="35"/>
  </w:num>
  <w:num w:numId="45">
    <w:abstractNumId w:val="33"/>
    <w:lvlOverride w:ilvl="0">
      <w:startOverride w:val="1"/>
    </w:lvlOverride>
    <w:lvlOverride w:ilvl="1"/>
    <w:lvlOverride w:ilvl="2"/>
    <w:lvlOverride w:ilvl="3"/>
    <w:lvlOverride w:ilvl="4"/>
    <w:lvlOverride w:ilvl="5"/>
    <w:lvlOverride w:ilvl="6"/>
    <w:lvlOverride w:ilvl="7"/>
    <w:lvlOverride w:ilvl="8"/>
  </w:num>
  <w:num w:numId="46">
    <w:abstractNumId w:val="27"/>
  </w:num>
  <w:num w:numId="47">
    <w:abstractNumId w:val="16"/>
  </w:num>
  <w:num w:numId="4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1A1D"/>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82</TotalTime>
  <Pages>5</Pages>
  <Words>1758</Words>
  <Characters>10024</Characters>
  <Application>Microsoft Office Word</Application>
  <DocSecurity>0</DocSecurity>
  <Lines>83</Lines>
  <Paragraphs>23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11759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Peter Niblett</cp:lastModifiedBy>
  <cp:revision>4</cp:revision>
  <cp:lastPrinted>2020-02-13T09:12:00Z</cp:lastPrinted>
  <dcterms:created xsi:type="dcterms:W3CDTF">2020-12-13T23:58:00Z</dcterms:created>
  <dcterms:modified xsi:type="dcterms:W3CDTF">2020-12-14T09:21:00Z</dcterms:modified>
</cp:coreProperties>
</file>