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SDS 72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2025-12-05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MCP Architecture Overview</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WI-0122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TR-0081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3.3, 6, 6.1, 7.1, 7.2, 5.2, 7.3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Change Request </w:t>
      </w:r>
    </w:p>
    <w:p w14:paraId="25E6A193" w14:textId="36971A44" w:rsidR="001F1CB6" w:rsidRDefault="001F1CB6" w:rsidP="001F1CB6">
      <w:pPr>
        <w:rPr>
          <w:rStyle w:val="Hyperlink"/>
          <w:lang w:val="en-US"/>
        </w:rPr>
      </w:pPr>
      <w:hyperlink r:id="rId11" w:history="1">
        <w:r>
          <w:rPr>
            <w:rStyle w:val="Hyperlink"/>
            <w:lang w:val="en-US"/>
          </w:rPr>
          <w:t>https://git.onem2m.org/specifications/tr/tr-0081/-/merge_requests/5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https://git.onem2m.org/specifications/tr/tr-0081/-/merge_requests/5/diffs?commit_id=e7567e3681a53c9f56ccec6b70868c52ffce200a</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TR-0081-AI_Agent_Interworking.md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---a/TR-0081-AI_Agent_Interworking.md</w:t>
        <w:br/>
        <w:t>+++b/TR-0081-AI_Agent_Interworking.md</w:t>
      </w:r>
    </w:p>
    <w:p>
      <w:pPr>
        <w:pStyle w:val="CodeHeader"/>
      </w:pPr>
      <w:r>
        <w:t>@@ -148,14 +148,23 @@ The key words "Shall", "Shall not", "May", "Need not", "Should", "Should not" in</w:t>
      </w:r>
    </w:p>
    <w:p>
      <w:pPr>
        <w:pStyle w:val="CodeChangeLine"/>
        <w:tabs>
          <w:tab w:pos="567" w:val="left"/>
          <w:tab w:pos="1134" w:val="left"/>
          <w:tab w:pos="1247" w:val="left"/>
        </w:tabs>
      </w:pPr>
      <w:r>
        <w:rPr>
          <w:color w:val="BFBFBF"/>
          <w:shd w:val="clear" w:color="auto" w:fill="fafafa"/>
        </w:rPr>
        <w:t>148</w:t>
        <w:tab/>
        <w:t>148</w:t>
        <w:tab/>
        <w:tab/>
      </w:r>
      <w:r/>
    </w:p>
    <w:p>
      <w:pPr>
        <w:pStyle w:val="CodeChangeLine"/>
        <w:tabs>
          <w:tab w:pos="567" w:val="left"/>
          <w:tab w:pos="1134" w:val="left"/>
          <w:tab w:pos="1247" w:val="left"/>
        </w:tabs>
      </w:pPr>
      <w:r>
        <w:rPr>
          <w:color w:val="BFBFBF"/>
          <w:shd w:val="clear" w:color="auto" w:fill="fafafa"/>
        </w:rPr>
        <w:t>149</w:t>
        <w:tab/>
        <w:t>149</w:t>
        <w:tab/>
        <w:tab/>
      </w:r>
      <w:r>
        <w:t>&lt;mark&gt;The following text is to be used when appropriate:&lt;/mark&gt;</w:t>
      </w:r>
    </w:p>
    <w:p>
      <w:pPr>
        <w:pStyle w:val="CodeChangeLine"/>
        <w:tabs>
          <w:tab w:pos="567" w:val="left"/>
          <w:tab w:pos="1134" w:val="left"/>
          <w:tab w:pos="1247" w:val="left"/>
        </w:tabs>
      </w:pPr>
      <w:r>
        <w:rPr>
          <w:color w:val="BFBFBF"/>
          <w:shd w:val="clear" w:color="auto" w:fill="fafafa"/>
        </w:rPr>
        <w:t>150</w:t>
        <w:tab/>
        <w:t>150</w:t>
        <w:tab/>
        <w:tab/>
      </w:r>
      <w:r/>
    </w:p>
    <w:p>
      <w:pPr>
        <w:pStyle w:val="CodeChangeLine"/>
        <w:tabs>
          <w:tab w:pos="567" w:val="left"/>
          <w:tab w:pos="1134" w:val="left"/>
          <w:tab w:pos="1247" w:val="left"/>
        </w:tabs>
        <w:shd w:val="clear" w:color="auto" w:fill="ecfdf0"/>
      </w:pPr>
      <w:r>
        <w:rPr>
          <w:color w:val="BFBFBF"/>
          <w:shd w:val="clear" w:color="auto" w:fill="#ddfbe6"/>
        </w:rPr>
        <w:tab/>
        <w:t>151</w:t>
        <w:tab/>
        <w:t>+</w:t>
        <w:tab/>
      </w:r>
      <w:r>
        <w:t># 6 Architecture model of MCP to oneM2M interworking</w:t>
      </w:r>
    </w:p>
    <w:p>
      <w:pPr>
        <w:pStyle w:val="CodeChangeLine"/>
        <w:tabs>
          <w:tab w:pos="567" w:val="left"/>
          <w:tab w:pos="1134" w:val="left"/>
          <w:tab w:pos="1247" w:val="left"/>
        </w:tabs>
      </w:pPr>
      <w:r>
        <w:rPr>
          <w:color w:val="BFBFBF"/>
          <w:shd w:val="clear" w:color="auto" w:fill="fafafa"/>
        </w:rPr>
        <w:t>151</w:t>
        <w:tab/>
        <w:t>152</w:t>
        <w:tab/>
        <w:tab/>
      </w:r>
      <w:r/>
    </w:p>
    <w:p>
      <w:pPr>
        <w:pStyle w:val="CodeChangeLine"/>
        <w:tabs>
          <w:tab w:pos="567" w:val="left"/>
          <w:tab w:pos="1134" w:val="left"/>
          <w:tab w:pos="1247" w:val="left"/>
        </w:tabs>
        <w:shd w:val="clear" w:color="auto" w:fill="fbe9eb"/>
      </w:pPr>
      <w:r>
        <w:rPr>
          <w:color w:val="BFBFBF"/>
          <w:shd w:val="clear" w:color="auto" w:fill="#f9d7dc"/>
        </w:rPr>
        <w:t>152</w:t>
        <w:tab/>
        <w:tab/>
        <w:t>-</w:t>
        <w:tab/>
      </w:r>
      <w:r>
        <w:t># 6 Security aspects of MCP interworking</w:t>
      </w:r>
    </w:p>
    <w:p>
      <w:pPr>
        <w:pStyle w:val="CodeChangeLine"/>
        <w:tabs>
          <w:tab w:pos="567" w:val="left"/>
          <w:tab w:pos="1134" w:val="left"/>
          <w:tab w:pos="1247" w:val="left"/>
        </w:tabs>
        <w:shd w:val="clear" w:color="auto" w:fill="fbe9eb"/>
      </w:pPr>
      <w:r>
        <w:rPr>
          <w:color w:val="BFBFBF"/>
          <w:shd w:val="clear" w:color="auto" w:fill="#f9d7dc"/>
        </w:rPr>
        <w:t>153</w:t>
        <w:tab/>
        <w:tab/>
        <w:t>-</w:t>
        <w:tab/>
      </w:r>
      <w:r>
        <w:t>## 6.1 Overview</w:t>
      </w:r>
    </w:p>
    <w:p>
      <w:pPr>
        <w:pStyle w:val="CodeChangeLine"/>
        <w:tabs>
          <w:tab w:pos="567" w:val="left"/>
          <w:tab w:pos="1134" w:val="left"/>
          <w:tab w:pos="1247" w:val="left"/>
        </w:tabs>
        <w:shd w:val="clear" w:color="auto" w:fill="ecfdf0"/>
      </w:pPr>
      <w:r>
        <w:rPr>
          <w:color w:val="BFBFBF"/>
          <w:shd w:val="clear" w:color="auto" w:fill="#ddfbe6"/>
        </w:rPr>
        <w:tab/>
        <w:t>153</w:t>
        <w:tab/>
        <w:t>+</w:t>
        <w:tab/>
      </w:r>
      <w:r>
        <w:t>Figure 6-1 shows an architectural approach for an Interworking Proxy Entity (IPE), which is implemented as an MCP server, positioned between a oneM2M CSE and an AI agent</w:t>
      </w:r>
    </w:p>
    <w:p>
      <w:pPr>
        <w:pStyle w:val="CodeChangeLine"/>
        <w:tabs>
          <w:tab w:pos="567" w:val="left"/>
          <w:tab w:pos="1134" w:val="left"/>
          <w:tab w:pos="1247" w:val="left"/>
        </w:tabs>
        <w:shd w:val="clear" w:color="auto" w:fill="ecfdf0"/>
      </w:pPr>
      <w:r>
        <w:rPr>
          <w:color w:val="BFBFBF"/>
          <w:shd w:val="clear" w:color="auto" w:fill="#ddfbe6"/>
        </w:rPr>
        <w:tab/>
        <w:t>154</w:t>
        <w:tab/>
        <w:t>+</w:t>
        <w:tab/>
      </w:r>
      <w:r>
        <w:t>The interworking enables AI agents to access standard Mca functionality of a CSE via the MCP protocol.</w:t>
      </w:r>
    </w:p>
    <w:p>
      <w:pPr>
        <w:pStyle w:val="CodeChangeLine"/>
        <w:tabs>
          <w:tab w:pos="567" w:val="left"/>
          <w:tab w:pos="1134" w:val="left"/>
          <w:tab w:pos="1247" w:val="left"/>
        </w:tabs>
        <w:shd w:val="clear" w:color="auto" w:fill="ecfdf0"/>
      </w:pPr>
      <w:r>
        <w:rPr>
          <w:color w:val="BFBFBF"/>
          <w:shd w:val="clear" w:color="auto" w:fill="#ddfbe6"/>
        </w:rPr>
        <w:tab/>
        <w:t>155</w:t>
        <w:tab/>
        <w:t>+</w:t>
        <w:tab/>
      </w:r>
      <w:r/>
    </w:p>
    <w:p>
      <w:pPr>
        <w:pStyle w:val="CodeChangeLine"/>
        <w:tabs>
          <w:tab w:pos="567" w:val="left"/>
          <w:tab w:pos="1134" w:val="left"/>
          <w:tab w:pos="1247" w:val="left"/>
        </w:tabs>
        <w:shd w:val="clear" w:color="auto" w:fill="ecfdf0"/>
      </w:pPr>
      <w:r>
        <w:rPr>
          <w:color w:val="BFBFBF"/>
          <w:shd w:val="clear" w:color="auto" w:fill="#ddfbe6"/>
        </w:rPr>
        <w:tab/>
        <w:t>156</w:t>
        <w:tab/>
        <w:t>+</w:t>
        <w:tab/>
      </w:r>
      <w:r>
        <w:t>![Figure 6-1: IPE architecture overview](media/general_architectur.png)</w:t>
      </w:r>
    </w:p>
    <w:p>
      <w:pPr>
        <w:pStyle w:val="CodeChangeLine"/>
        <w:tabs>
          <w:tab w:pos="567" w:val="left"/>
          <w:tab w:pos="1134" w:val="left"/>
          <w:tab w:pos="1247" w:val="left"/>
        </w:tabs>
        <w:shd w:val="clear" w:color="auto" w:fill="ecfdf0"/>
      </w:pPr>
      <w:r>
        <w:rPr>
          <w:color w:val="BFBFBF"/>
          <w:shd w:val="clear" w:color="auto" w:fill="#ddfbe6"/>
        </w:rPr>
        <w:tab/>
        <w:t>157</w:t>
        <w:tab/>
        <w:t>+</w:t>
        <w:tab/>
      </w:r>
      <w:r/>
    </w:p>
    <w:p>
      <w:pPr>
        <w:pStyle w:val="CodeChangeLine"/>
        <w:tabs>
          <w:tab w:pos="567" w:val="left"/>
          <w:tab w:pos="1134" w:val="left"/>
          <w:tab w:pos="1247" w:val="left"/>
        </w:tabs>
        <w:shd w:val="clear" w:color="auto" w:fill="ecfdf0"/>
      </w:pPr>
      <w:r>
        <w:rPr>
          <w:color w:val="BFBFBF"/>
          <w:shd w:val="clear" w:color="auto" w:fill="#ddfbe6"/>
        </w:rPr>
        <w:tab/>
        <w:t>158</w:t>
        <w:tab/>
        <w:t>+</w:t>
        <w:tab/>
      </w:r>
      <w:r>
        <w:t>**Figure 6-1: IPE architecture overview**</w:t>
      </w:r>
    </w:p>
    <w:p>
      <w:pPr>
        <w:pStyle w:val="CodeChangeLine"/>
        <w:tabs>
          <w:tab w:pos="567" w:val="left"/>
          <w:tab w:pos="1134" w:val="left"/>
          <w:tab w:pos="1247" w:val="left"/>
        </w:tabs>
        <w:shd w:val="clear" w:color="auto" w:fill="ecfdf0"/>
      </w:pPr>
      <w:r>
        <w:rPr>
          <w:color w:val="BFBFBF"/>
          <w:shd w:val="clear" w:color="auto" w:fill="#ddfbe6"/>
        </w:rPr>
        <w:tab/>
        <w:t>159</w:t>
        <w:tab/>
        <w:t>+</w:t>
        <w:tab/>
      </w:r>
      <w:r/>
    </w:p>
    <w:p>
      <w:pPr>
        <w:pStyle w:val="CodeChangeLine"/>
        <w:tabs>
          <w:tab w:pos="567" w:val="left"/>
          <w:tab w:pos="1134" w:val="left"/>
          <w:tab w:pos="1247" w:val="left"/>
        </w:tabs>
        <w:shd w:val="clear" w:color="auto" w:fill="ecfdf0"/>
      </w:pPr>
      <w:r>
        <w:rPr>
          <w:color w:val="BFBFBF"/>
          <w:shd w:val="clear" w:color="auto" w:fill="#ddfbe6"/>
        </w:rPr>
        <w:tab/>
        <w:t>160</w:t>
        <w:tab/>
        <w:t>+</w:t>
        <w:tab/>
      </w:r>
      <w:r/>
    </w:p>
    <w:p>
      <w:pPr>
        <w:pStyle w:val="CodeChangeLine"/>
        <w:tabs>
          <w:tab w:pos="567" w:val="left"/>
          <w:tab w:pos="1134" w:val="left"/>
          <w:tab w:pos="1247" w:val="left"/>
        </w:tabs>
        <w:shd w:val="clear" w:color="auto" w:fill="ecfdf0"/>
      </w:pPr>
      <w:r>
        <w:rPr>
          <w:color w:val="BFBFBF"/>
          <w:shd w:val="clear" w:color="auto" w:fill="#ddfbe6"/>
        </w:rPr>
        <w:tab/>
        <w:t>161</w:t>
        <w:tab/>
        <w:t>+</w:t>
        <w:tab/>
      </w:r>
      <w:r>
        <w:t># 7 Security aspects of MCP interworking</w:t>
      </w:r>
    </w:p>
    <w:p>
      <w:pPr>
        <w:pStyle w:val="CodeChangeLine"/>
        <w:tabs>
          <w:tab w:pos="567" w:val="left"/>
          <w:tab w:pos="1134" w:val="left"/>
          <w:tab w:pos="1247" w:val="left"/>
        </w:tabs>
        <w:shd w:val="clear" w:color="auto" w:fill="ecfdf0"/>
      </w:pPr>
      <w:r>
        <w:rPr>
          <w:color w:val="BFBFBF"/>
          <w:shd w:val="clear" w:color="auto" w:fill="#ddfbe6"/>
        </w:rPr>
        <w:tab/>
        <w:t>162</w:t>
        <w:tab/>
        <w:t>+</w:t>
        <w:tab/>
      </w:r>
      <w:r>
        <w:t>## 7.1 Overview</w:t>
      </w:r>
    </w:p>
    <w:p>
      <w:pPr>
        <w:pStyle w:val="CodeChangeLine"/>
        <w:tabs>
          <w:tab w:pos="567" w:val="left"/>
          <w:tab w:pos="1134" w:val="left"/>
          <w:tab w:pos="1247" w:val="left"/>
        </w:tabs>
      </w:pPr>
      <w:r>
        <w:rPr>
          <w:color w:val="BFBFBF"/>
          <w:shd w:val="clear" w:color="auto" w:fill="fafafa"/>
        </w:rPr>
        <w:t>154</w:t>
        <w:tab/>
        <w:t>163</w:t>
        <w:tab/>
        <w:tab/>
      </w:r>
      <w:r>
        <w:t>The integration of Model Context Protocol (MCP) with oneM2M in Internet of Things (IoT) systems introduces unique security challenges that necessitate dedicated solutions to ensure secure interworking. MCP, designed for contextual data exchange and model-based interactions, enables advanced querying and resource access in IoT environments. However, when MCP clients seek to interact with oneM2M resources—such as retrieving, updating, or managing data stored in Common Service Entities (CSEs)—potential vulnerabilities arise, including unauthorized access, data leakage, impersonation attacks, and integrity breaches. These risks stem from differences in the protocols' native security mechanisms: oneM2M relies on Access Control Policies (ACPs) and Application Entity (AE) identifiers for fine-grained authorization, while MCP may lack equivalent built-in controls for cross-protocol operations, leading to exposure if direct access is attempted without mediation.</w:t>
      </w:r>
    </w:p>
    <w:p>
      <w:pPr>
        <w:pStyle w:val="CodeChangeLine"/>
        <w:tabs>
          <w:tab w:pos="567" w:val="left"/>
          <w:tab w:pos="1134" w:val="left"/>
          <w:tab w:pos="1247" w:val="left"/>
        </w:tabs>
      </w:pPr>
      <w:r>
        <w:rPr>
          <w:color w:val="BFBFBF"/>
          <w:shd w:val="clear" w:color="auto" w:fill="fafafa"/>
        </w:rPr>
        <w:t>155</w:t>
        <w:tab/>
        <w:t>164</w:t>
        <w:tab/>
        <w:tab/>
      </w:r>
      <w:r/>
    </w:p>
    <w:p>
      <w:pPr>
        <w:pStyle w:val="CodeChangeLine"/>
        <w:tabs>
          <w:tab w:pos="567" w:val="left"/>
          <w:tab w:pos="1134" w:val="left"/>
          <w:tab w:pos="1247" w:val="left"/>
        </w:tabs>
      </w:pPr>
      <w:r>
        <w:rPr>
          <w:color w:val="BFBFBF"/>
          <w:shd w:val="clear" w:color="auto" w:fill="fafafa"/>
        </w:rPr>
        <w:t>156</w:t>
        <w:tab/>
        <w:t>165</w:t>
        <w:tab/>
        <w:tab/>
      </w:r>
      <w:r>
        <w:t>A security solution is essential to mitigate these issues by providing robust authentication, authorization, and message translation. Without such measures, MCP clients could bypass oneM2M's security layers, compromising sensitive IoT data or enabling denial-of-service scenarios. The approach should adopt a token-based authentication framework, such as Personal Access Tokens (PATs), which encapsulate client identifiers, issuance/expiration timestamps, permissible resource scopes, and corresponding AE mappings. This enables stateless verification while aligning with oneM2M's ACP framework. Conceptually, the solution should employ an intermediary proxy (e.g., MCP Interworking Proxy Entity, MCP-IPE) to handle protocol translation, validate access rights, and enforce policies, ensuring that MCP requests are securely mapped to oneM2M operations without exposing underlying resources directly. This proxy-centric model promotes scalability, reduces attack surfaces, and facilitates compliance with IoT security standards like those from oneM2M and related bodies.</w:t>
      </w:r>
    </w:p>
    <w:p>
      <w:pPr>
        <w:pStyle w:val="CodeChangeLine"/>
        <w:tabs>
          <w:tab w:pos="567" w:val="left"/>
          <w:tab w:pos="1134" w:val="left"/>
          <w:tab w:pos="1247" w:val="left"/>
        </w:tabs>
      </w:pPr>
      <w:r>
        <w:rPr>
          <w:color w:val="BFBFBF"/>
          <w:shd w:val="clear" w:color="auto" w:fill="fafafa"/>
        </w:rPr>
        <w:t>157</w:t>
        <w:tab/>
        <w:t>166</w:t>
        <w:tab/>
        <w:tab/>
      </w:r>
      <w:r/>
    </w:p>
    <w:p>
      <w:pPr>
        <w:pStyle w:val="CodeChangeLine"/>
        <w:tabs>
          <w:tab w:pos="567" w:val="left"/>
          <w:tab w:pos="1134" w:val="left"/>
          <w:tab w:pos="1247" w:val="left"/>
        </w:tabs>
        <w:shd w:val="clear" w:color="auto" w:fill="fbe9eb"/>
      </w:pPr>
      <w:r>
        <w:rPr>
          <w:color w:val="BFBFBF"/>
          <w:shd w:val="clear" w:color="auto" w:fill="#f9d7dc"/>
        </w:rPr>
        <w:t>158</w:t>
        <w:tab/>
        <w:tab/>
        <w:t>-</w:t>
        <w:tab/>
      </w:r>
      <w:r>
        <w:t>## 6.2 High-level security architecture</w:t>
      </w:r>
    </w:p>
    <w:p>
      <w:pPr>
        <w:pStyle w:val="CodeChangeLine"/>
        <w:tabs>
          <w:tab w:pos="567" w:val="left"/>
          <w:tab w:pos="1134" w:val="left"/>
          <w:tab w:pos="1247" w:val="left"/>
        </w:tabs>
        <w:shd w:val="clear" w:color="auto" w:fill="ecfdf0"/>
      </w:pPr>
      <w:r>
        <w:rPr>
          <w:color w:val="BFBFBF"/>
          <w:shd w:val="clear" w:color="auto" w:fill="#ddfbe6"/>
        </w:rPr>
        <w:tab/>
        <w:t>167</w:t>
        <w:tab/>
        <w:t>+</w:t>
        <w:tab/>
      </w:r>
      <w:r>
        <w:t>## 7.2 High-level security architecture</w:t>
      </w:r>
    </w:p>
    <w:p>
      <w:pPr>
        <w:pStyle w:val="CodeChangeLine"/>
        <w:tabs>
          <w:tab w:pos="567" w:val="left"/>
          <w:tab w:pos="1134" w:val="left"/>
          <w:tab w:pos="1247" w:val="left"/>
        </w:tabs>
      </w:pPr>
      <w:r>
        <w:rPr>
          <w:color w:val="BFBFBF"/>
          <w:shd w:val="clear" w:color="auto" w:fill="fafafa"/>
        </w:rPr>
        <w:t>159</w:t>
        <w:tab/>
        <w:t>168</w:t>
        <w:tab/>
        <w:tab/>
      </w:r>
      <w:r>
        <w:t>The high-level security architecture for MCP-oneM2M interworking is designed around a proxy-mediated framework to ensure secure, controlled access between MCP clients and oneM2M resources. Key components include:</w:t>
      </w:r>
    </w:p>
    <w:p>
      <w:pPr>
        <w:pStyle w:val="CodeChangeLine"/>
        <w:tabs>
          <w:tab w:pos="567" w:val="left"/>
          <w:tab w:pos="1134" w:val="left"/>
          <w:tab w:pos="1247" w:val="left"/>
        </w:tabs>
      </w:pPr>
      <w:r>
        <w:rPr>
          <w:color w:val="BFBFBF"/>
          <w:shd w:val="clear" w:color="auto" w:fill="fafafa"/>
        </w:rPr>
        <w:t>160</w:t>
        <w:tab/>
        <w:t>169</w:t>
        <w:tab/>
        <w:tab/>
      </w:r>
      <w:r/>
    </w:p>
    <w:p>
      <w:pPr>
        <w:pStyle w:val="CodeChangeLine"/>
        <w:tabs>
          <w:tab w:pos="567" w:val="left"/>
          <w:tab w:pos="1134" w:val="left"/>
          <w:tab w:pos="1247" w:val="left"/>
        </w:tabs>
      </w:pPr>
      <w:r>
        <w:rPr>
          <w:color w:val="BFBFBF"/>
          <w:shd w:val="clear" w:color="auto" w:fill="fafafa"/>
        </w:rPr>
        <w:t>161</w:t>
        <w:tab/>
        <w:t>170</w:t>
        <w:tab/>
        <w:tab/>
      </w:r>
      <w:r>
        <w:t>- MCP Client: The originating entity that generates MCP request messages to perform operations (e.g., retrieve, create, update, or delete) on oneM2M resources. It must obtain and include a PAT in requests, where the PAT contains the client's identifier, issuance time, expiration time, authorized resource scopes (including specific resources and permitted operations), and a mapping to a corresponding oneM2M AE identifier.</w:t>
      </w:r>
    </w:p>
    <w:p>
      <w:pPr>
        <w:pStyle w:val="CodeHeader"/>
      </w:pPr>
      <w:r>
        <w:t>@@ -166,14 +175,14 @@ The high-level security architecture for MCP-oneM2M interworking is designed aro</w:t>
      </w:r>
    </w:p>
    <w:p>
      <w:pPr>
        <w:pStyle w:val="CodeChangeLine"/>
        <w:tabs>
          <w:tab w:pos="567" w:val="left"/>
          <w:tab w:pos="1134" w:val="left"/>
          <w:tab w:pos="1247" w:val="left"/>
        </w:tabs>
      </w:pPr>
      <w:r>
        <w:rPr>
          <w:color w:val="BFBFBF"/>
          <w:shd w:val="clear" w:color="auto" w:fill="fafafa"/>
        </w:rPr>
        <w:t>166</w:t>
        <w:tab/>
        <w:t>175</w:t>
        <w:tab/>
        <w:tab/>
      </w:r>
      <w:r>
        <w:t xml:space="preserve">  - Forwarding and Relay: Sending the translated message to the oneM2M CSE and relaying responses back to the MCP Client after reverse translation (converting oneM2M responses to MCP responses).</w:t>
      </w:r>
    </w:p>
    <w:p>
      <w:pPr>
        <w:pStyle w:val="CodeChangeLine"/>
        <w:tabs>
          <w:tab w:pos="567" w:val="left"/>
          <w:tab w:pos="1134" w:val="left"/>
          <w:tab w:pos="1247" w:val="left"/>
        </w:tabs>
      </w:pPr>
      <w:r>
        <w:rPr>
          <w:color w:val="BFBFBF"/>
          <w:shd w:val="clear" w:color="auto" w:fill="fafafa"/>
        </w:rPr>
        <w:t>167</w:t>
        <w:tab/>
        <w:t>176</w:t>
        <w:tab/>
        <w:tab/>
      </w:r>
      <w:r>
        <w:t>- oneM2M CSE: The target server hosting IoT resources, enforcing its native security through ACPs linked to registered AEs. It processes only validated oneM2M messages from the MCP-IPE, ensuring no direct exposure to MCP clients.</w:t>
      </w:r>
    </w:p>
    <w:p>
      <w:pPr>
        <w:pStyle w:val="CodeChangeLine"/>
        <w:tabs>
          <w:tab w:pos="567" w:val="left"/>
          <w:tab w:pos="1134" w:val="left"/>
          <w:tab w:pos="1247" w:val="left"/>
        </w:tabs>
      </w:pPr>
      <w:r>
        <w:rPr>
          <w:color w:val="BFBFBF"/>
          <w:shd w:val="clear" w:color="auto" w:fill="fafafa"/>
        </w:rPr>
        <w:t>168</w:t>
        <w:tab/>
        <w:t>177</w:t>
        <w:tab/>
        <w:tab/>
      </w:r>
      <w:r/>
    </w:p>
    <w:p>
      <w:pPr>
        <w:pStyle w:val="CodeChangeLine"/>
        <w:tabs>
          <w:tab w:pos="567" w:val="left"/>
          <w:tab w:pos="1134" w:val="left"/>
          <w:tab w:pos="1247" w:val="left"/>
        </w:tabs>
        <w:shd w:val="clear" w:color="auto" w:fill="fbe9eb"/>
      </w:pPr>
      <w:r>
        <w:rPr>
          <w:color w:val="BFBFBF"/>
          <w:shd w:val="clear" w:color="auto" w:fill="#f9d7dc"/>
        </w:rPr>
        <w:t>169</w:t>
        <w:tab/>
        <w:tab/>
        <w:t>-</w:t>
        <w:tab/>
      </w:r>
      <w:r>
        <w:t>![Figure 6.2-1: AHigh-level architecture for MCP-interworking security](media/6.2.1.png)</w:t>
      </w:r>
    </w:p>
    <w:p>
      <w:pPr>
        <w:pStyle w:val="CodeChangeLine"/>
        <w:tabs>
          <w:tab w:pos="567" w:val="left"/>
          <w:tab w:pos="1134" w:val="left"/>
          <w:tab w:pos="1247" w:val="left"/>
        </w:tabs>
        <w:shd w:val="clear" w:color="auto" w:fill="fbe9eb"/>
      </w:pPr>
      <w:r>
        <w:rPr>
          <w:color w:val="BFBFBF"/>
          <w:shd w:val="clear" w:color="auto" w:fill="#f9d7dc"/>
        </w:rPr>
        <w:t>170</w:t>
        <w:tab/>
        <w:tab/>
        <w:t>-</w:t>
        <w:tab/>
      </w:r>
      <w:r>
        <w:t xml:space="preserve">**Figure 6.2-1: High-level architecture for MCP-interworking security** </w:t>
      </w:r>
    </w:p>
    <w:p>
      <w:pPr>
        <w:pStyle w:val="CodeChangeLine"/>
        <w:tabs>
          <w:tab w:pos="567" w:val="left"/>
          <w:tab w:pos="1134" w:val="left"/>
          <w:tab w:pos="1247" w:val="left"/>
        </w:tabs>
        <w:shd w:val="clear" w:color="auto" w:fill="ecfdf0"/>
      </w:pPr>
      <w:r>
        <w:rPr>
          <w:color w:val="BFBFBF"/>
          <w:shd w:val="clear" w:color="auto" w:fill="#ddfbe6"/>
        </w:rPr>
        <w:tab/>
        <w:t>178</w:t>
        <w:tab/>
        <w:t>+</w:t>
        <w:tab/>
      </w:r>
      <w:r>
        <w:t>![Figure 7.2-1: AHigh-level architecture for MCP-interworking security](media/6.2.1.png)</w:t>
      </w:r>
    </w:p>
    <w:p>
      <w:pPr>
        <w:pStyle w:val="CodeChangeLine"/>
        <w:tabs>
          <w:tab w:pos="567" w:val="left"/>
          <w:tab w:pos="1134" w:val="left"/>
          <w:tab w:pos="1247" w:val="left"/>
        </w:tabs>
        <w:shd w:val="clear" w:color="auto" w:fill="ecfdf0"/>
      </w:pPr>
      <w:r>
        <w:rPr>
          <w:color w:val="BFBFBF"/>
          <w:shd w:val="clear" w:color="auto" w:fill="#ddfbe6"/>
        </w:rPr>
        <w:tab/>
        <w:t>179</w:t>
        <w:tab/>
        <w:t>+</w:t>
        <w:tab/>
      </w:r>
      <w:r>
        <w:t xml:space="preserve">**Figure 7.2-1: High-level architecture for MCP-interworking security** </w:t>
      </w:r>
    </w:p>
    <w:p>
      <w:pPr>
        <w:pStyle w:val="CodeChangeLine"/>
        <w:tabs>
          <w:tab w:pos="567" w:val="left"/>
          <w:tab w:pos="1134" w:val="left"/>
          <w:tab w:pos="1247" w:val="left"/>
        </w:tabs>
      </w:pPr>
      <w:r>
        <w:rPr>
          <w:color w:val="BFBFBF"/>
          <w:shd w:val="clear" w:color="auto" w:fill="fafafa"/>
        </w:rPr>
        <w:t>171</w:t>
        <w:tab/>
        <w:t>180</w:t>
        <w:tab/>
        <w:tab/>
      </w:r>
      <w:r/>
    </w:p>
    <w:p>
      <w:pPr>
        <w:pStyle w:val="CodeChangeLine"/>
        <w:tabs>
          <w:tab w:pos="567" w:val="left"/>
          <w:tab w:pos="1134" w:val="left"/>
          <w:tab w:pos="1247" w:val="left"/>
        </w:tabs>
      </w:pPr>
      <w:r>
        <w:rPr>
          <w:color w:val="BFBFBF"/>
          <w:shd w:val="clear" w:color="auto" w:fill="fafafa"/>
        </w:rPr>
        <w:t>172</w:t>
        <w:tab/>
        <w:t>181</w:t>
        <w:tab/>
        <w:tab/>
      </w:r>
      <w:r/>
    </w:p>
    <w:p>
      <w:pPr>
        <w:pStyle w:val="CodeChangeLine"/>
        <w:tabs>
          <w:tab w:pos="567" w:val="left"/>
          <w:tab w:pos="1134" w:val="left"/>
          <w:tab w:pos="1247" w:val="left"/>
        </w:tabs>
      </w:pPr>
      <w:r>
        <w:rPr>
          <w:color w:val="BFBFBF"/>
          <w:shd w:val="clear" w:color="auto" w:fill="fafafa"/>
        </w:rPr>
        <w:t>173</w:t>
        <w:tab/>
        <w:t>182</w:t>
        <w:tab/>
        <w:tab/>
      </w:r>
      <w:r>
        <w:t>The architecture operates in a layered manner: (1) PAT issuance flow, where the MCP client requests a token from the MCP-IPE, triggering AE registration and ACP creation; (2) Request processing flow, involving PAT validation, authorization checks (cross-referencing ACPs or PAT scopes), message conversion, and forwarding; and (3) Response handling, ensuring secure relay without leakage. This structure minimizes direct protocol exposure, supports granular access control, and can integrate additional safeguards like encryption (e.g., TLS for transport) and auditing logs, aligning with scalable IoT deployments.</w:t>
      </w:r>
    </w:p>
    <w:p>
      <w:pPr>
        <w:pStyle w:val="CodeChangeLine"/>
        <w:tabs>
          <w:tab w:pos="567" w:val="left"/>
          <w:tab w:pos="1134" w:val="left"/>
          <w:tab w:pos="1247" w:val="left"/>
        </w:tabs>
      </w:pPr>
      <w:r>
        <w:rPr>
          <w:color w:val="BFBFBF"/>
          <w:shd w:val="clear" w:color="auto" w:fill="fafafa"/>
        </w:rPr>
        <w:t>174</w:t>
        <w:tab/>
        <w:t>183</w:t>
        <w:tab/>
        <w:tab/>
      </w:r>
      <w:r/>
    </w:p>
    <w:p>
      <w:pPr>
        <w:pStyle w:val="CodeChangeLine"/>
        <w:tabs>
          <w:tab w:pos="567" w:val="left"/>
          <w:tab w:pos="1134" w:val="left"/>
          <w:tab w:pos="1247" w:val="left"/>
        </w:tabs>
      </w:pPr>
      <w:r>
        <w:rPr>
          <w:color w:val="BFBFBF"/>
          <w:shd w:val="clear" w:color="auto" w:fill="fafafa"/>
        </w:rPr>
        <w:t>175</w:t>
        <w:tab/>
        <w:t>184</w:t>
        <w:tab/>
        <w:tab/>
      </w:r>
      <w:r/>
    </w:p>
    <w:p>
      <w:pPr>
        <w:pStyle w:val="CodeChangeLine"/>
        <w:tabs>
          <w:tab w:pos="567" w:val="left"/>
          <w:tab w:pos="1134" w:val="left"/>
          <w:tab w:pos="1247" w:val="left"/>
        </w:tabs>
        <w:shd w:val="clear" w:color="auto" w:fill="fbe9eb"/>
      </w:pPr>
      <w:r>
        <w:rPr>
          <w:color w:val="BFBFBF"/>
          <w:shd w:val="clear" w:color="auto" w:fill="#f9d7dc"/>
        </w:rPr>
        <w:t>176</w:t>
        <w:tab/>
        <w:tab/>
        <w:t>-</w:t>
        <w:tab/>
      </w:r>
      <w:r>
        <w:t>## 6.3 Security procedure for MCP Interworking</w:t>
      </w:r>
    </w:p>
    <w:p>
      <w:pPr>
        <w:pStyle w:val="CodeChangeLine"/>
        <w:tabs>
          <w:tab w:pos="567" w:val="left"/>
          <w:tab w:pos="1134" w:val="left"/>
          <w:tab w:pos="1247" w:val="left"/>
        </w:tabs>
        <w:shd w:val="clear" w:color="auto" w:fill="ecfdf0"/>
      </w:pPr>
      <w:r>
        <w:rPr>
          <w:color w:val="BFBFBF"/>
          <w:shd w:val="clear" w:color="auto" w:fill="#ddfbe6"/>
        </w:rPr>
        <w:tab/>
        <w:t>185</w:t>
        <w:tab/>
        <w:t>+</w:t>
        <w:tab/>
      </w:r>
      <w:r>
        <w:t>## 7.3 Security procedure for MCP Interworking</w:t>
      </w:r>
    </w:p>
    <w:p>
      <w:pPr>
        <w:pStyle w:val="CodeChangeLine"/>
        <w:tabs>
          <w:tab w:pos="567" w:val="left"/>
          <w:tab w:pos="1134" w:val="left"/>
          <w:tab w:pos="1247" w:val="left"/>
        </w:tabs>
      </w:pPr>
      <w:r>
        <w:rPr>
          <w:color w:val="BFBFBF"/>
          <w:shd w:val="clear" w:color="auto" w:fill="fafafa"/>
        </w:rPr>
        <w:t>177</w:t>
        <w:tab/>
        <w:t>186</w:t>
        <w:tab/>
        <w:tab/>
      </w:r>
      <w:r>
        <w:t>&lt;span style="color: red;"&gt;Editor's note: Detailed interworking procedure will be added in this clause.&lt;/span&gt;</w:t>
      </w:r>
    </w:p>
    <w:p>
      <w:pPr>
        <w:pStyle w:val="CodeChangeLine"/>
        <w:tabs>
          <w:tab w:pos="567" w:val="left"/>
          <w:tab w:pos="1134" w:val="left"/>
          <w:tab w:pos="1247" w:val="left"/>
        </w:tabs>
      </w:pPr>
      <w:r>
        <w:rPr>
          <w:color w:val="BFBFBF"/>
          <w:shd w:val="clear" w:color="auto" w:fill="fafafa"/>
        </w:rPr>
        <w:t>178</w:t>
        <w:tab/>
        <w:t>187</w:t>
        <w:tab/>
        <w:tab/>
      </w:r>
      <w:r/>
    </w:p>
    <w:p>
      <w:pPr>
        <w:pStyle w:val="CodeChangeLine"/>
        <w:tabs>
          <w:tab w:pos="567" w:val="left"/>
          <w:tab w:pos="1134" w:val="left"/>
          <w:tab w:pos="1247" w:val="left"/>
        </w:tabs>
      </w:pPr>
      <w:r>
        <w:rPr>
          <w:color w:val="BFBFBF"/>
          <w:shd w:val="clear" w:color="auto" w:fill="fafafa"/>
        </w:rPr>
        <w:t>179</w:t>
        <w:tab/>
        <w:t>188</w:t>
        <w:tab/>
        <w:tab/>
      </w: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media/general_architectur.png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+++b/media/general_architectur.png</w:t>
      </w:r>
    </w:p>
    <w:p>
      <w:r>
        <w:drawing>
          <wp:inline xmlns:a="http://schemas.openxmlformats.org/drawingml/2006/main" xmlns:pic="http://schemas.openxmlformats.org/drawingml/2006/picture">
            <wp:extent cx="5943600" cy="1534983"/>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600" cy="1534983"/>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SDS-2025-0188-MCP_Architecture_Overview</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r/tr-0081/-/merge_requests/5/diffs?commit_id=e7567e3681a53c9f56ccec6b70868c52ffce200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tr-0081/-/merge_requests/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