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TDE#64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Miguel Angel Reina Ortega</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TS-0019-Demo-markdown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R4</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WI-0102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5.1</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New feature A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https://git.onem2m.org/specifications/ts/ts-0019/-/merge_requests/36</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https://git.onem2m.org/specifications/ts/ts-0019/-/merge_requests/36/diffs?commit_id=826c47b3a5d58195d3f0bc20b08747cef01f050f</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---a/TS-0019-Abstract_Test_Suite_&amp;_implementation_eXtra_Information_for_Test.md</w:t>
        <w:br/>
        <w:t>+++b/TS-0019-Abstract_Test_Suite_&amp;_implementation_eXtra_Information_for_Test.md</w:t>
      </w:r>
    </w:p>
    <w:p>
      <w:pPr>
        <w:pStyle w:val="CodeHeader"/>
      </w:pPr>
      <w:r>
        <w:t>@@ -217,7 +217,9 @@ APTs used by the oneM2M test suite are described in figure 5.1-1. The test syste</w:t>
      </w:r>
    </w:p>
    <w:p>
      <w:pPr>
        <w:pStyle w:val="CodeChangeLine"/>
      </w:pPr>
      <w:r>
        <w:t>**Figure 5.1-1: Abstract protocol testers - oneM2M**</w:t>
      </w:r>
    </w:p>
    <w:p>
      <w:pPr>
        <w:pStyle w:val="CodeChangeLine"/>
      </w:pPr>
      <w:r/>
    </w:p>
    <w:p>
      <w:pPr>
        <w:pStyle w:val="CodeChangeLine"/>
      </w:pPr>
      <w:r/>
    </w:p>
    <w:p>
      <w:pPr>
        <w:pStyle w:val="CodeChangeLine"/>
        <w:shd w:val="clear" w:color="auto" w:fill="fbe9eb"/>
      </w:pPr>
      <w:r>
        <w:t>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p>
      <w:pPr>
        <w:pStyle w:val="CodeChangeLine"/>
        <w:shd w:val="clear" w:color="auto" w:fill="ecfdf0"/>
      </w:pPr>
      <w:r>
        <w:t>As figure 5.1-1 illustrates, the corresponding ATS needs to use lower layers to establish a proper connection to the system under test (SUT) over several physical links (Lower layers link). Four different lower layers have been specified corresponding to the binding protocols considered in oneM2M: HTTP, CoAP, WebSocket and MQTT.</w:t>
      </w:r>
    </w:p>
    <w:p>
      <w:pPr>
        <w:pStyle w:val="CodeChangeLine"/>
        <w:shd w:val="clear" w:color="auto" w:fill="ecfdf0"/>
      </w:pPr>
      <w:r/>
    </w:p>
    <w:p>
      <w:pPr>
        <w:pStyle w:val="CodeChangeLine"/>
        <w:shd w:val="clear" w:color="auto" w:fill="ecfdf0"/>
      </w:pPr>
      <w:r>
        <w:t>This is a demo for markdown spec.</w:t>
      </w:r>
    </w:p>
    <w:p>
      <w:pPr>
        <w:pStyle w:val="CodeChangeLine"/>
      </w:pPr>
      <w:r/>
    </w:p>
    <w:p>
      <w:pPr>
        <w:pStyle w:val="CodeChangeLine"/>
      </w:pPr>
      <w:r/>
    </w:p>
    <w:p>
      <w:pPr>
        <w:pStyle w:val="CodeChangeLine"/>
      </w:pPr>
      <w:r>
        <w:t>## 5.2 Test Configuration</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TDE-2024-0052-TS-0019-Demo-markdown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19/-/merge_requests/36/diffs?commit_id=826c47b3a5d58195d3f0bc20b08747cef01f050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19/-/merge_requests/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Miguel Angel Reina Ortega</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